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A6AC" w14:textId="3054D019" w:rsidR="00104152" w:rsidRDefault="00F4796B">
      <w:pPr>
        <w:jc w:val="center"/>
      </w:pPr>
      <w:bookmarkStart w:id="0" w:name="_heading=h.gjdgxs" w:colFirst="0" w:colLast="0"/>
      <w:bookmarkEnd w:id="0"/>
      <w:r>
        <w:rPr>
          <w:noProof/>
        </w:rPr>
        <w:drawing>
          <wp:inline distT="0" distB="0" distL="0" distR="0" wp14:anchorId="40C00A5A" wp14:editId="65D7EBDD">
            <wp:extent cx="1762125" cy="514350"/>
            <wp:effectExtent l="0" t="0" r="0" b="0"/>
            <wp:docPr id="1315552795" name="Picture 131555279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52795" name="Picture 1315552795"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2125" cy="514350"/>
                    </a:xfrm>
                    <a:prstGeom prst="rect">
                      <a:avLst/>
                    </a:prstGeom>
                  </pic:spPr>
                </pic:pic>
              </a:graphicData>
            </a:graphic>
          </wp:inline>
        </w:drawing>
      </w:r>
    </w:p>
    <w:p w14:paraId="6A57E44F" w14:textId="77777777" w:rsidR="00104152" w:rsidRDefault="00104152"/>
    <w:p w14:paraId="48DEA8CE" w14:textId="77777777" w:rsidR="00104152" w:rsidRPr="00F4796B" w:rsidRDefault="001B7B53">
      <w:pPr>
        <w:tabs>
          <w:tab w:val="left" w:pos="3780"/>
        </w:tabs>
        <w:jc w:val="center"/>
        <w:rPr>
          <w:rFonts w:ascii="Aeonik" w:hAnsi="Aeonik"/>
          <w:i/>
          <w:color w:val="171717"/>
        </w:rPr>
      </w:pPr>
      <w:r w:rsidRPr="00F4796B">
        <w:rPr>
          <w:rFonts w:ascii="Aeonik" w:hAnsi="Aeonik"/>
          <w:i/>
          <w:color w:val="171717"/>
        </w:rPr>
        <w:t>Student Achievement</w:t>
      </w:r>
    </w:p>
    <w:p w14:paraId="20FEB537" w14:textId="77777777" w:rsidR="00104152" w:rsidRPr="00F4796B" w:rsidRDefault="00104152">
      <w:pPr>
        <w:tabs>
          <w:tab w:val="left" w:pos="3780"/>
        </w:tabs>
        <w:jc w:val="center"/>
        <w:rPr>
          <w:rFonts w:ascii="Aeonik" w:hAnsi="Aeonik"/>
          <w:i/>
          <w:color w:val="171717"/>
        </w:rPr>
      </w:pPr>
    </w:p>
    <w:p w14:paraId="667AB24E" w14:textId="2155A812" w:rsidR="00104152" w:rsidRPr="00F4796B" w:rsidRDefault="001B7B53">
      <w:pPr>
        <w:spacing w:after="0" w:line="240" w:lineRule="auto"/>
        <w:rPr>
          <w:rFonts w:ascii="Aeonik" w:hAnsi="Aeonik"/>
          <w:color w:val="171717"/>
        </w:rPr>
      </w:pPr>
      <w:r w:rsidRPr="00F4796B">
        <w:rPr>
          <w:rFonts w:ascii="Aeonik" w:hAnsi="Aeonik"/>
          <w:color w:val="171717"/>
        </w:rPr>
        <w:t xml:space="preserve">Institution Name: </w:t>
      </w:r>
      <w:r w:rsidR="00EE6850">
        <w:rPr>
          <w:rFonts w:ascii="Aeonik" w:hAnsi="Aeonik"/>
          <w:color w:val="171717"/>
        </w:rPr>
        <w:t>Fayetteville State University</w:t>
      </w:r>
    </w:p>
    <w:p w14:paraId="0C174470" w14:textId="3BE21A2A" w:rsidR="00104152" w:rsidRPr="00F4796B" w:rsidRDefault="001B7B53">
      <w:pPr>
        <w:spacing w:after="0" w:line="240" w:lineRule="auto"/>
        <w:rPr>
          <w:rFonts w:ascii="Aeonik" w:hAnsi="Aeonik"/>
          <w:color w:val="171717"/>
        </w:rPr>
      </w:pPr>
      <w:r w:rsidRPr="00F4796B">
        <w:rPr>
          <w:rFonts w:ascii="Aeonik" w:hAnsi="Aeonik"/>
          <w:color w:val="171717"/>
        </w:rPr>
        <w:t>Academic Period:</w:t>
      </w:r>
      <w:r w:rsidR="00EE6850">
        <w:rPr>
          <w:rFonts w:ascii="Aeonik" w:hAnsi="Aeonik"/>
          <w:color w:val="171717"/>
        </w:rPr>
        <w:t xml:space="preserve"> 2025</w:t>
      </w:r>
    </w:p>
    <w:p w14:paraId="73A937F4" w14:textId="0D8D51BE" w:rsidR="00104152" w:rsidRPr="00F4796B" w:rsidRDefault="001B7B53">
      <w:pPr>
        <w:pStyle w:val="Heading3"/>
        <w:rPr>
          <w:rFonts w:ascii="Aeonik" w:hAnsi="Aeonik"/>
          <w:b/>
          <w:color w:val="171717"/>
          <w:sz w:val="20"/>
          <w:szCs w:val="20"/>
        </w:rPr>
      </w:pPr>
      <w:bookmarkStart w:id="1" w:name="_heading=h.teumym8kjj4r" w:colFirst="0" w:colLast="0"/>
      <w:bookmarkEnd w:id="1"/>
      <w:r w:rsidRPr="00F4796B">
        <w:rPr>
          <w:rFonts w:ascii="Aeonik" w:hAnsi="Aeonik"/>
          <w:b/>
          <w:i/>
          <w:color w:val="171717"/>
          <w:sz w:val="20"/>
          <w:szCs w:val="20"/>
        </w:rPr>
        <w:t xml:space="preserve">See pages two and three for directions and </w:t>
      </w:r>
      <w:r w:rsidR="00B769DB" w:rsidRPr="00F4796B">
        <w:rPr>
          <w:rFonts w:ascii="Aeonik" w:hAnsi="Aeonik"/>
          <w:b/>
          <w:i/>
          <w:color w:val="171717"/>
          <w:sz w:val="20"/>
          <w:szCs w:val="20"/>
        </w:rPr>
        <w:t>definitions.</w:t>
      </w:r>
    </w:p>
    <w:p w14:paraId="3DD47F7B" w14:textId="77777777" w:rsidR="00104152" w:rsidRPr="00F4796B" w:rsidRDefault="00104152">
      <w:pPr>
        <w:spacing w:after="0" w:line="240" w:lineRule="auto"/>
        <w:rPr>
          <w:rFonts w:ascii="Aeonik" w:hAnsi="Aeonik"/>
          <w:color w:val="171717"/>
        </w:rPr>
      </w:pPr>
    </w:p>
    <w:tbl>
      <w:tblPr>
        <w:tblW w:w="5000" w:type="pct"/>
        <w:tblLook w:val="04A0" w:firstRow="1" w:lastRow="0" w:firstColumn="1" w:lastColumn="0" w:noHBand="0" w:noVBand="1"/>
      </w:tblPr>
      <w:tblGrid>
        <w:gridCol w:w="1852"/>
        <w:gridCol w:w="2902"/>
        <w:gridCol w:w="6026"/>
      </w:tblGrid>
      <w:tr w:rsidR="00B769DB" w:rsidRPr="00F4796B" w14:paraId="6D9A7434" w14:textId="77777777" w:rsidTr="00B769DB">
        <w:trPr>
          <w:trHeight w:val="315"/>
        </w:trPr>
        <w:tc>
          <w:tcPr>
            <w:tcW w:w="859" w:type="pct"/>
            <w:tcBorders>
              <w:top w:val="single" w:sz="8" w:space="0" w:color="808080"/>
              <w:left w:val="single" w:sz="8" w:space="0" w:color="808080"/>
              <w:bottom w:val="single" w:sz="8" w:space="0" w:color="808080"/>
              <w:right w:val="single" w:sz="8" w:space="0" w:color="808080"/>
            </w:tcBorders>
            <w:vAlign w:val="center"/>
            <w:hideMark/>
          </w:tcPr>
          <w:p w14:paraId="783BDAC5" w14:textId="77777777" w:rsidR="00B769DB" w:rsidRPr="00F4796B" w:rsidRDefault="00B769DB" w:rsidP="00B769DB">
            <w:pPr>
              <w:spacing w:after="0" w:line="240" w:lineRule="auto"/>
              <w:jc w:val="center"/>
              <w:rPr>
                <w:rFonts w:ascii="Aeonik" w:eastAsia="Times New Roman" w:hAnsi="Aeonik"/>
                <w:i/>
                <w:iCs/>
                <w:color w:val="171717"/>
              </w:rPr>
            </w:pPr>
            <w:bookmarkStart w:id="2" w:name="_heading=h.30j0zll" w:colFirst="0" w:colLast="0"/>
            <w:bookmarkEnd w:id="2"/>
            <w:r w:rsidRPr="00F4796B">
              <w:rPr>
                <w:rFonts w:ascii="Aeonik" w:eastAsia="Times New Roman" w:hAnsi="Aeonik"/>
                <w:i/>
                <w:iCs/>
                <w:color w:val="171717"/>
              </w:rPr>
              <w:t>Program Name </w:t>
            </w:r>
          </w:p>
        </w:tc>
        <w:tc>
          <w:tcPr>
            <w:tcW w:w="1346" w:type="pct"/>
            <w:tcBorders>
              <w:top w:val="single" w:sz="8" w:space="0" w:color="808080"/>
              <w:left w:val="nil"/>
              <w:bottom w:val="single" w:sz="8" w:space="0" w:color="808080"/>
              <w:right w:val="single" w:sz="8" w:space="0" w:color="808080"/>
            </w:tcBorders>
            <w:vAlign w:val="center"/>
            <w:hideMark/>
          </w:tcPr>
          <w:p w14:paraId="2B44BCB7" w14:textId="67169D1A" w:rsidR="00B769DB" w:rsidRPr="00F4796B" w:rsidRDefault="00B769DB" w:rsidP="00B769DB">
            <w:pPr>
              <w:spacing w:after="0" w:line="240" w:lineRule="auto"/>
              <w:jc w:val="center"/>
              <w:rPr>
                <w:rFonts w:ascii="Aeonik" w:eastAsia="Times New Roman" w:hAnsi="Aeonik"/>
                <w:color w:val="0563C1"/>
                <w:u w:val="single"/>
              </w:rPr>
            </w:pPr>
            <w:r w:rsidRPr="00F4796B">
              <w:rPr>
                <w:rFonts w:ascii="Aeonik" w:eastAsia="Times New Roman" w:hAnsi="Aeonik"/>
                <w:color w:val="0563C1"/>
                <w:u w:val="single"/>
              </w:rPr>
              <w:t>Indicators</w:t>
            </w:r>
            <w:r w:rsidR="001B7B53" w:rsidRPr="00F4796B">
              <w:rPr>
                <w:rStyle w:val="FootnoteReference"/>
                <w:rFonts w:ascii="Aeonik" w:eastAsia="Times New Roman" w:hAnsi="Aeonik"/>
                <w:color w:val="0563C1"/>
                <w:u w:val="single"/>
              </w:rPr>
              <w:footnoteReference w:id="1"/>
            </w:r>
          </w:p>
        </w:tc>
        <w:tc>
          <w:tcPr>
            <w:tcW w:w="2795" w:type="pct"/>
            <w:tcBorders>
              <w:top w:val="single" w:sz="8" w:space="0" w:color="808080"/>
              <w:left w:val="nil"/>
              <w:bottom w:val="single" w:sz="8" w:space="0" w:color="808080"/>
              <w:right w:val="single" w:sz="8" w:space="0" w:color="808080"/>
            </w:tcBorders>
            <w:vAlign w:val="center"/>
            <w:hideMark/>
          </w:tcPr>
          <w:p w14:paraId="070889C8" w14:textId="77777777" w:rsidR="00B769DB" w:rsidRPr="00F4796B" w:rsidRDefault="00B769DB" w:rsidP="00B769DB">
            <w:pPr>
              <w:spacing w:after="0" w:line="240" w:lineRule="auto"/>
              <w:jc w:val="center"/>
              <w:rPr>
                <w:rFonts w:ascii="Aeonik" w:eastAsia="Times New Roman" w:hAnsi="Aeonik"/>
                <w:i/>
                <w:iCs/>
                <w:color w:val="171717"/>
              </w:rPr>
            </w:pPr>
            <w:r w:rsidRPr="00F4796B">
              <w:rPr>
                <w:rFonts w:ascii="Aeonik" w:eastAsia="Times New Roman" w:hAnsi="Aeonik"/>
                <w:i/>
                <w:iCs/>
                <w:color w:val="171717"/>
              </w:rPr>
              <w:t>Outcome </w:t>
            </w:r>
          </w:p>
        </w:tc>
      </w:tr>
      <w:tr w:rsidR="00EE6850" w:rsidRPr="00F4796B" w14:paraId="2238417A" w14:textId="77777777" w:rsidTr="00B769DB">
        <w:trPr>
          <w:trHeight w:val="315"/>
        </w:trPr>
        <w:tc>
          <w:tcPr>
            <w:tcW w:w="859" w:type="pct"/>
            <w:tcBorders>
              <w:top w:val="nil"/>
              <w:left w:val="single" w:sz="8" w:space="0" w:color="808080"/>
              <w:bottom w:val="single" w:sz="8" w:space="0" w:color="808080"/>
              <w:right w:val="single" w:sz="8" w:space="0" w:color="808080"/>
            </w:tcBorders>
            <w:vAlign w:val="center"/>
            <w:hideMark/>
          </w:tcPr>
          <w:p w14:paraId="5968D1B8" w14:textId="08615536" w:rsidR="00EE6850" w:rsidRPr="00F4796B" w:rsidRDefault="00EE6850" w:rsidP="00EE6850">
            <w:pPr>
              <w:spacing w:after="0" w:line="240" w:lineRule="auto"/>
              <w:rPr>
                <w:rFonts w:ascii="Aeonik" w:eastAsia="Times New Roman" w:hAnsi="Aeonik"/>
                <w:color w:val="171717"/>
              </w:rPr>
            </w:pPr>
            <w:r w:rsidRPr="00F4796B">
              <w:rPr>
                <w:rFonts w:ascii="Aeonik" w:eastAsia="Times New Roman" w:hAnsi="Aeonik" w:cs="Cambria"/>
                <w:color w:val="171717"/>
              </w:rPr>
              <w:t> </w:t>
            </w:r>
            <w:r>
              <w:rPr>
                <w:rFonts w:ascii="Aeonik" w:eastAsia="Times New Roman" w:hAnsi="Aeonik" w:cs="Cambria"/>
                <w:color w:val="171717"/>
              </w:rPr>
              <w:t>MBA with PM Specialization</w:t>
            </w:r>
          </w:p>
        </w:tc>
        <w:tc>
          <w:tcPr>
            <w:tcW w:w="1346" w:type="pct"/>
            <w:tcBorders>
              <w:top w:val="nil"/>
              <w:left w:val="nil"/>
              <w:bottom w:val="single" w:sz="8" w:space="0" w:color="808080"/>
              <w:right w:val="single" w:sz="8" w:space="0" w:color="808080"/>
            </w:tcBorders>
            <w:vAlign w:val="center"/>
            <w:hideMark/>
          </w:tcPr>
          <w:p w14:paraId="2542702A" w14:textId="50DE1BE6" w:rsidR="00EE6850" w:rsidRPr="00F4796B" w:rsidRDefault="00EE6850" w:rsidP="00EE6850">
            <w:pPr>
              <w:spacing w:after="0" w:line="240" w:lineRule="auto"/>
              <w:jc w:val="center"/>
              <w:rPr>
                <w:rFonts w:ascii="Aeonik" w:eastAsia="Times New Roman" w:hAnsi="Aeonik"/>
                <w:color w:val="171717"/>
              </w:rPr>
            </w:pPr>
            <w:r>
              <w:rPr>
                <w:rFonts w:ascii="Cambria" w:eastAsia="Times New Roman" w:hAnsi="Cambria" w:cs="Cambria"/>
                <w:color w:val="171717"/>
              </w:rPr>
              <w:t>Acceptance rate</w:t>
            </w:r>
            <w:r w:rsidRPr="00B769DB">
              <w:rPr>
                <w:rFonts w:ascii="Cambria" w:eastAsia="Times New Roman" w:hAnsi="Cambria" w:cs="Cambria"/>
                <w:color w:val="171717"/>
              </w:rPr>
              <w:t> </w:t>
            </w:r>
          </w:p>
        </w:tc>
        <w:tc>
          <w:tcPr>
            <w:tcW w:w="2795" w:type="pct"/>
            <w:tcBorders>
              <w:top w:val="nil"/>
              <w:left w:val="nil"/>
              <w:bottom w:val="single" w:sz="8" w:space="0" w:color="808080"/>
              <w:right w:val="single" w:sz="8" w:space="0" w:color="808080"/>
            </w:tcBorders>
            <w:vAlign w:val="center"/>
            <w:hideMark/>
          </w:tcPr>
          <w:p w14:paraId="00D5B974" w14:textId="5E279D5E" w:rsidR="00EE6850" w:rsidRPr="00F4796B" w:rsidRDefault="006E6C5D" w:rsidP="006E6C5D">
            <w:pPr>
              <w:spacing w:after="0" w:line="240" w:lineRule="auto"/>
              <w:jc w:val="center"/>
              <w:rPr>
                <w:rFonts w:ascii="Aeonik" w:eastAsia="Times New Roman" w:hAnsi="Aeonik"/>
                <w:color w:val="171717"/>
              </w:rPr>
            </w:pPr>
            <w:r>
              <w:rPr>
                <w:rFonts w:ascii="Aeonik" w:eastAsia="Times New Roman" w:hAnsi="Aeonik" w:cs="Cambria"/>
                <w:color w:val="171717"/>
              </w:rPr>
              <w:t>90%</w:t>
            </w:r>
          </w:p>
        </w:tc>
      </w:tr>
      <w:tr w:rsidR="00EE6850" w:rsidRPr="00F4796B" w14:paraId="1FA216FA" w14:textId="77777777" w:rsidTr="00B769DB">
        <w:trPr>
          <w:trHeight w:val="315"/>
        </w:trPr>
        <w:tc>
          <w:tcPr>
            <w:tcW w:w="859" w:type="pct"/>
            <w:tcBorders>
              <w:top w:val="nil"/>
              <w:left w:val="single" w:sz="8" w:space="0" w:color="808080"/>
              <w:bottom w:val="single" w:sz="8" w:space="0" w:color="808080"/>
              <w:right w:val="single" w:sz="8" w:space="0" w:color="808080"/>
            </w:tcBorders>
            <w:vAlign w:val="center"/>
            <w:hideMark/>
          </w:tcPr>
          <w:p w14:paraId="6334B0D9" w14:textId="77777777" w:rsidR="00EE6850" w:rsidRPr="00F4796B" w:rsidRDefault="00EE6850" w:rsidP="00EE6850">
            <w:pPr>
              <w:spacing w:after="0" w:line="240" w:lineRule="auto"/>
              <w:ind w:firstLineChars="100" w:firstLine="220"/>
              <w:rPr>
                <w:rFonts w:ascii="Aeonik" w:eastAsia="Times New Roman" w:hAnsi="Aeonik"/>
                <w:color w:val="171717"/>
              </w:rPr>
            </w:pPr>
            <w:r w:rsidRPr="00F4796B">
              <w:rPr>
                <w:rFonts w:ascii="Aeonik" w:eastAsia="Times New Roman" w:hAnsi="Aeonik" w:cs="Cambria"/>
                <w:color w:val="171717"/>
              </w:rPr>
              <w:t> </w:t>
            </w:r>
          </w:p>
        </w:tc>
        <w:tc>
          <w:tcPr>
            <w:tcW w:w="1346" w:type="pct"/>
            <w:tcBorders>
              <w:top w:val="nil"/>
              <w:left w:val="nil"/>
              <w:bottom w:val="single" w:sz="8" w:space="0" w:color="808080"/>
              <w:right w:val="single" w:sz="8" w:space="0" w:color="808080"/>
            </w:tcBorders>
            <w:vAlign w:val="center"/>
            <w:hideMark/>
          </w:tcPr>
          <w:p w14:paraId="77715DC4" w14:textId="1FC9C72D" w:rsidR="00EE6850" w:rsidRPr="00F4796B" w:rsidRDefault="00EE6850" w:rsidP="00EE6850">
            <w:pPr>
              <w:spacing w:after="0" w:line="240" w:lineRule="auto"/>
              <w:jc w:val="center"/>
              <w:rPr>
                <w:rFonts w:ascii="Aeonik" w:eastAsia="Times New Roman" w:hAnsi="Aeonik"/>
                <w:color w:val="171717"/>
              </w:rPr>
            </w:pPr>
            <w:r>
              <w:rPr>
                <w:rFonts w:ascii="Cambria" w:eastAsia="Times New Roman" w:hAnsi="Cambria" w:cs="Cambria"/>
                <w:color w:val="171717"/>
              </w:rPr>
              <w:t>Graduation rate</w:t>
            </w:r>
            <w:r w:rsidRPr="00B769DB">
              <w:rPr>
                <w:rFonts w:ascii="Cambria" w:eastAsia="Times New Roman" w:hAnsi="Cambria" w:cs="Cambria"/>
                <w:color w:val="171717"/>
              </w:rPr>
              <w:t> </w:t>
            </w:r>
          </w:p>
        </w:tc>
        <w:tc>
          <w:tcPr>
            <w:tcW w:w="2795" w:type="pct"/>
            <w:tcBorders>
              <w:top w:val="nil"/>
              <w:left w:val="nil"/>
              <w:bottom w:val="single" w:sz="8" w:space="0" w:color="808080"/>
              <w:right w:val="single" w:sz="8" w:space="0" w:color="808080"/>
            </w:tcBorders>
            <w:vAlign w:val="center"/>
            <w:hideMark/>
          </w:tcPr>
          <w:p w14:paraId="53272422" w14:textId="46E3BB5D" w:rsidR="00EE6850" w:rsidRPr="00F4796B" w:rsidRDefault="007370E8" w:rsidP="00EE6850">
            <w:pPr>
              <w:spacing w:after="0" w:line="240" w:lineRule="auto"/>
              <w:jc w:val="center"/>
              <w:rPr>
                <w:rFonts w:ascii="Aeonik" w:eastAsia="Times New Roman" w:hAnsi="Aeonik"/>
                <w:color w:val="171717"/>
              </w:rPr>
            </w:pPr>
            <w:r>
              <w:rPr>
                <w:rFonts w:ascii="Aeonik" w:eastAsia="Times New Roman" w:hAnsi="Aeonik" w:cs="Cambria"/>
                <w:color w:val="171717"/>
              </w:rPr>
              <w:t>35.3%</w:t>
            </w:r>
            <w:r w:rsidR="00EE6850" w:rsidRPr="00F4796B">
              <w:rPr>
                <w:rFonts w:ascii="Aeonik" w:eastAsia="Times New Roman" w:hAnsi="Aeonik" w:cs="Cambria"/>
                <w:color w:val="171717"/>
              </w:rPr>
              <w:t> </w:t>
            </w:r>
          </w:p>
        </w:tc>
      </w:tr>
      <w:tr w:rsidR="00EE6850" w:rsidRPr="00F4796B" w14:paraId="6775865B" w14:textId="77777777" w:rsidTr="00B769DB">
        <w:trPr>
          <w:trHeight w:val="293"/>
        </w:trPr>
        <w:tc>
          <w:tcPr>
            <w:tcW w:w="859" w:type="pct"/>
            <w:tcBorders>
              <w:top w:val="nil"/>
              <w:left w:val="single" w:sz="8" w:space="0" w:color="808080"/>
              <w:bottom w:val="single" w:sz="8" w:space="0" w:color="808080"/>
              <w:right w:val="single" w:sz="8" w:space="0" w:color="808080"/>
            </w:tcBorders>
            <w:vAlign w:val="center"/>
            <w:hideMark/>
          </w:tcPr>
          <w:p w14:paraId="28583A81" w14:textId="77777777" w:rsidR="00EE6850" w:rsidRPr="00F4796B" w:rsidRDefault="00EE6850" w:rsidP="00EE6850">
            <w:pPr>
              <w:spacing w:after="0" w:line="240" w:lineRule="auto"/>
              <w:ind w:firstLineChars="100" w:firstLine="220"/>
              <w:rPr>
                <w:rFonts w:ascii="Aeonik" w:eastAsia="Times New Roman" w:hAnsi="Aeonik"/>
                <w:color w:val="171717"/>
              </w:rPr>
            </w:pPr>
            <w:r w:rsidRPr="00F4796B">
              <w:rPr>
                <w:rFonts w:ascii="Aeonik" w:eastAsia="Times New Roman" w:hAnsi="Aeonik" w:cs="Cambria"/>
                <w:color w:val="171717"/>
              </w:rPr>
              <w:t> </w:t>
            </w:r>
          </w:p>
        </w:tc>
        <w:tc>
          <w:tcPr>
            <w:tcW w:w="1346" w:type="pct"/>
            <w:tcBorders>
              <w:top w:val="nil"/>
              <w:left w:val="nil"/>
              <w:bottom w:val="single" w:sz="8" w:space="0" w:color="808080"/>
              <w:right w:val="single" w:sz="8" w:space="0" w:color="808080"/>
            </w:tcBorders>
            <w:vAlign w:val="center"/>
            <w:hideMark/>
          </w:tcPr>
          <w:p w14:paraId="5BC93DDB" w14:textId="3A88BA41" w:rsidR="00EE6850" w:rsidRPr="00F4796B" w:rsidRDefault="00EE6850" w:rsidP="00EE6850">
            <w:pPr>
              <w:spacing w:after="0" w:line="240" w:lineRule="auto"/>
              <w:jc w:val="center"/>
              <w:rPr>
                <w:rFonts w:ascii="Aeonik" w:eastAsia="Times New Roman" w:hAnsi="Aeonik"/>
                <w:color w:val="171717"/>
              </w:rPr>
            </w:pPr>
            <w:r>
              <w:rPr>
                <w:rFonts w:ascii="Cambria" w:eastAsia="Times New Roman" w:hAnsi="Cambria"/>
                <w:color w:val="171717"/>
              </w:rPr>
              <w:t>Persistence rate</w:t>
            </w:r>
          </w:p>
        </w:tc>
        <w:tc>
          <w:tcPr>
            <w:tcW w:w="2795" w:type="pct"/>
            <w:tcBorders>
              <w:top w:val="nil"/>
              <w:left w:val="nil"/>
              <w:bottom w:val="single" w:sz="8" w:space="0" w:color="808080"/>
              <w:right w:val="single" w:sz="8" w:space="0" w:color="808080"/>
            </w:tcBorders>
            <w:vAlign w:val="center"/>
            <w:hideMark/>
          </w:tcPr>
          <w:p w14:paraId="5256CFFA" w14:textId="7A06605B" w:rsidR="00EE6850" w:rsidRPr="00F4796B" w:rsidRDefault="007370E8" w:rsidP="00EE6850">
            <w:pPr>
              <w:spacing w:after="0" w:line="240" w:lineRule="auto"/>
              <w:jc w:val="center"/>
              <w:rPr>
                <w:rFonts w:ascii="Aeonik" w:eastAsia="Times New Roman" w:hAnsi="Aeonik"/>
                <w:color w:val="171717"/>
              </w:rPr>
            </w:pPr>
            <w:r>
              <w:rPr>
                <w:rFonts w:ascii="Aeonik" w:eastAsia="Times New Roman" w:hAnsi="Aeonik" w:cs="Cambria"/>
                <w:color w:val="171717"/>
              </w:rPr>
              <w:t>86.9%</w:t>
            </w:r>
            <w:r w:rsidR="00EE6850" w:rsidRPr="00F4796B">
              <w:rPr>
                <w:rFonts w:ascii="Aeonik" w:eastAsia="Times New Roman" w:hAnsi="Aeonik" w:cs="Cambria"/>
                <w:color w:val="171717"/>
              </w:rPr>
              <w:t> </w:t>
            </w:r>
          </w:p>
        </w:tc>
      </w:tr>
      <w:tr w:rsidR="00B769DB" w:rsidRPr="00F4796B" w14:paraId="6F7C13F4" w14:textId="77777777" w:rsidTr="00B769DB">
        <w:trPr>
          <w:trHeight w:val="293"/>
        </w:trPr>
        <w:tc>
          <w:tcPr>
            <w:tcW w:w="859" w:type="pct"/>
            <w:tcBorders>
              <w:top w:val="nil"/>
              <w:left w:val="single" w:sz="8" w:space="0" w:color="808080"/>
              <w:bottom w:val="single" w:sz="8" w:space="0" w:color="808080"/>
              <w:right w:val="single" w:sz="8" w:space="0" w:color="808080"/>
            </w:tcBorders>
            <w:vAlign w:val="center"/>
            <w:hideMark/>
          </w:tcPr>
          <w:p w14:paraId="22B0376A" w14:textId="77777777" w:rsidR="00B769DB" w:rsidRPr="00F4796B" w:rsidRDefault="00B769DB" w:rsidP="00B769DB">
            <w:pPr>
              <w:spacing w:after="0" w:line="240" w:lineRule="auto"/>
              <w:ind w:firstLineChars="100" w:firstLine="220"/>
              <w:rPr>
                <w:rFonts w:ascii="Aeonik" w:eastAsia="Times New Roman" w:hAnsi="Aeonik"/>
                <w:color w:val="171717"/>
              </w:rPr>
            </w:pPr>
            <w:r w:rsidRPr="00F4796B">
              <w:rPr>
                <w:rFonts w:ascii="Aeonik" w:eastAsia="Times New Roman" w:hAnsi="Aeonik" w:cs="Cambria"/>
                <w:color w:val="171717"/>
              </w:rPr>
              <w:t> </w:t>
            </w:r>
          </w:p>
        </w:tc>
        <w:tc>
          <w:tcPr>
            <w:tcW w:w="1346" w:type="pct"/>
            <w:tcBorders>
              <w:top w:val="nil"/>
              <w:left w:val="nil"/>
              <w:bottom w:val="single" w:sz="8" w:space="0" w:color="808080"/>
              <w:right w:val="single" w:sz="8" w:space="0" w:color="808080"/>
            </w:tcBorders>
            <w:vAlign w:val="center"/>
            <w:hideMark/>
          </w:tcPr>
          <w:p w14:paraId="5D4A95A1"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c>
          <w:tcPr>
            <w:tcW w:w="2795" w:type="pct"/>
            <w:tcBorders>
              <w:top w:val="nil"/>
              <w:left w:val="nil"/>
              <w:bottom w:val="single" w:sz="8" w:space="0" w:color="808080"/>
              <w:right w:val="single" w:sz="8" w:space="0" w:color="808080"/>
            </w:tcBorders>
            <w:vAlign w:val="center"/>
            <w:hideMark/>
          </w:tcPr>
          <w:p w14:paraId="115B1D34"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r>
      <w:tr w:rsidR="00B769DB" w:rsidRPr="00F4796B" w14:paraId="2C674E37" w14:textId="77777777" w:rsidTr="00B769DB">
        <w:trPr>
          <w:trHeight w:val="293"/>
        </w:trPr>
        <w:tc>
          <w:tcPr>
            <w:tcW w:w="859" w:type="pct"/>
            <w:tcBorders>
              <w:top w:val="nil"/>
              <w:left w:val="single" w:sz="8" w:space="0" w:color="808080"/>
              <w:bottom w:val="single" w:sz="8" w:space="0" w:color="808080"/>
              <w:right w:val="single" w:sz="8" w:space="0" w:color="808080"/>
            </w:tcBorders>
            <w:vAlign w:val="center"/>
            <w:hideMark/>
          </w:tcPr>
          <w:p w14:paraId="06165D19" w14:textId="77777777" w:rsidR="00B769DB" w:rsidRPr="00F4796B" w:rsidRDefault="00B769DB" w:rsidP="00B769DB">
            <w:pPr>
              <w:spacing w:after="0" w:line="240" w:lineRule="auto"/>
              <w:ind w:firstLineChars="100" w:firstLine="220"/>
              <w:rPr>
                <w:rFonts w:ascii="Aeonik" w:eastAsia="Times New Roman" w:hAnsi="Aeonik"/>
                <w:color w:val="171717"/>
              </w:rPr>
            </w:pPr>
            <w:r w:rsidRPr="00F4796B">
              <w:rPr>
                <w:rFonts w:ascii="Aeonik" w:eastAsia="Times New Roman" w:hAnsi="Aeonik" w:cs="Cambria"/>
                <w:color w:val="171717"/>
              </w:rPr>
              <w:t> </w:t>
            </w:r>
          </w:p>
        </w:tc>
        <w:tc>
          <w:tcPr>
            <w:tcW w:w="1346" w:type="pct"/>
            <w:tcBorders>
              <w:top w:val="nil"/>
              <w:left w:val="nil"/>
              <w:bottom w:val="single" w:sz="8" w:space="0" w:color="808080"/>
              <w:right w:val="single" w:sz="8" w:space="0" w:color="808080"/>
            </w:tcBorders>
            <w:vAlign w:val="center"/>
            <w:hideMark/>
          </w:tcPr>
          <w:p w14:paraId="22FE3976"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c>
          <w:tcPr>
            <w:tcW w:w="2795" w:type="pct"/>
            <w:tcBorders>
              <w:top w:val="nil"/>
              <w:left w:val="nil"/>
              <w:bottom w:val="single" w:sz="8" w:space="0" w:color="808080"/>
              <w:right w:val="single" w:sz="8" w:space="0" w:color="808080"/>
            </w:tcBorders>
            <w:vAlign w:val="center"/>
            <w:hideMark/>
          </w:tcPr>
          <w:p w14:paraId="0DEF323F"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r>
      <w:tr w:rsidR="00B769DB" w:rsidRPr="00F4796B" w14:paraId="161104E3" w14:textId="77777777" w:rsidTr="00B769DB">
        <w:trPr>
          <w:trHeight w:val="293"/>
        </w:trPr>
        <w:tc>
          <w:tcPr>
            <w:tcW w:w="859" w:type="pct"/>
            <w:tcBorders>
              <w:top w:val="nil"/>
              <w:left w:val="single" w:sz="8" w:space="0" w:color="808080"/>
              <w:bottom w:val="single" w:sz="8" w:space="0" w:color="808080"/>
              <w:right w:val="single" w:sz="8" w:space="0" w:color="808080"/>
            </w:tcBorders>
            <w:vAlign w:val="center"/>
            <w:hideMark/>
          </w:tcPr>
          <w:p w14:paraId="123057B8" w14:textId="77777777" w:rsidR="00B769DB" w:rsidRPr="00F4796B" w:rsidRDefault="00B769DB" w:rsidP="00B769DB">
            <w:pPr>
              <w:spacing w:after="0" w:line="240" w:lineRule="auto"/>
              <w:ind w:firstLineChars="100" w:firstLine="220"/>
              <w:rPr>
                <w:rFonts w:ascii="Aeonik" w:eastAsia="Times New Roman" w:hAnsi="Aeonik"/>
                <w:color w:val="171717"/>
              </w:rPr>
            </w:pPr>
            <w:r w:rsidRPr="00F4796B">
              <w:rPr>
                <w:rFonts w:ascii="Aeonik" w:eastAsia="Times New Roman" w:hAnsi="Aeonik" w:cs="Cambria"/>
                <w:color w:val="171717"/>
              </w:rPr>
              <w:t> </w:t>
            </w:r>
          </w:p>
        </w:tc>
        <w:tc>
          <w:tcPr>
            <w:tcW w:w="1346" w:type="pct"/>
            <w:tcBorders>
              <w:top w:val="nil"/>
              <w:left w:val="nil"/>
              <w:bottom w:val="single" w:sz="8" w:space="0" w:color="808080"/>
              <w:right w:val="single" w:sz="8" w:space="0" w:color="808080"/>
            </w:tcBorders>
            <w:vAlign w:val="center"/>
            <w:hideMark/>
          </w:tcPr>
          <w:p w14:paraId="63A1E91C"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c>
          <w:tcPr>
            <w:tcW w:w="2795" w:type="pct"/>
            <w:tcBorders>
              <w:top w:val="nil"/>
              <w:left w:val="nil"/>
              <w:bottom w:val="single" w:sz="8" w:space="0" w:color="808080"/>
              <w:right w:val="single" w:sz="8" w:space="0" w:color="808080"/>
            </w:tcBorders>
            <w:vAlign w:val="center"/>
            <w:hideMark/>
          </w:tcPr>
          <w:p w14:paraId="5578CB03"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r>
      <w:tr w:rsidR="00B769DB" w:rsidRPr="00F4796B" w14:paraId="55BCB951" w14:textId="77777777" w:rsidTr="00B769DB">
        <w:trPr>
          <w:trHeight w:val="293"/>
        </w:trPr>
        <w:tc>
          <w:tcPr>
            <w:tcW w:w="859" w:type="pct"/>
            <w:tcBorders>
              <w:top w:val="nil"/>
              <w:left w:val="single" w:sz="8" w:space="0" w:color="808080"/>
              <w:bottom w:val="single" w:sz="8" w:space="0" w:color="808080"/>
              <w:right w:val="single" w:sz="8" w:space="0" w:color="808080"/>
            </w:tcBorders>
            <w:vAlign w:val="center"/>
            <w:hideMark/>
          </w:tcPr>
          <w:p w14:paraId="25F5474B" w14:textId="77777777" w:rsidR="00B769DB" w:rsidRPr="00F4796B" w:rsidRDefault="00B769DB" w:rsidP="00B769DB">
            <w:pPr>
              <w:spacing w:after="0" w:line="240" w:lineRule="auto"/>
              <w:ind w:firstLineChars="100" w:firstLine="220"/>
              <w:rPr>
                <w:rFonts w:ascii="Aeonik" w:eastAsia="Times New Roman" w:hAnsi="Aeonik"/>
                <w:color w:val="171717"/>
              </w:rPr>
            </w:pPr>
            <w:r w:rsidRPr="00F4796B">
              <w:rPr>
                <w:rFonts w:ascii="Aeonik" w:eastAsia="Times New Roman" w:hAnsi="Aeonik" w:cs="Cambria"/>
                <w:color w:val="171717"/>
              </w:rPr>
              <w:t> </w:t>
            </w:r>
          </w:p>
        </w:tc>
        <w:tc>
          <w:tcPr>
            <w:tcW w:w="1346" w:type="pct"/>
            <w:tcBorders>
              <w:top w:val="nil"/>
              <w:left w:val="nil"/>
              <w:bottom w:val="single" w:sz="8" w:space="0" w:color="808080"/>
              <w:right w:val="single" w:sz="8" w:space="0" w:color="808080"/>
            </w:tcBorders>
            <w:vAlign w:val="center"/>
            <w:hideMark/>
          </w:tcPr>
          <w:p w14:paraId="4DBCBF05"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c>
          <w:tcPr>
            <w:tcW w:w="2795" w:type="pct"/>
            <w:tcBorders>
              <w:top w:val="nil"/>
              <w:left w:val="nil"/>
              <w:bottom w:val="single" w:sz="8" w:space="0" w:color="808080"/>
              <w:right w:val="single" w:sz="8" w:space="0" w:color="808080"/>
            </w:tcBorders>
            <w:vAlign w:val="center"/>
            <w:hideMark/>
          </w:tcPr>
          <w:p w14:paraId="5CF8F430"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r>
      <w:tr w:rsidR="00B769DB" w:rsidRPr="00F4796B" w14:paraId="3675B41C" w14:textId="77777777" w:rsidTr="00B769DB">
        <w:trPr>
          <w:trHeight w:val="293"/>
        </w:trPr>
        <w:tc>
          <w:tcPr>
            <w:tcW w:w="859" w:type="pct"/>
            <w:tcBorders>
              <w:top w:val="nil"/>
              <w:left w:val="single" w:sz="8" w:space="0" w:color="808080"/>
              <w:bottom w:val="single" w:sz="8" w:space="0" w:color="808080"/>
              <w:right w:val="single" w:sz="8" w:space="0" w:color="808080"/>
            </w:tcBorders>
            <w:vAlign w:val="center"/>
            <w:hideMark/>
          </w:tcPr>
          <w:p w14:paraId="441E3723" w14:textId="77777777" w:rsidR="00B769DB" w:rsidRPr="00F4796B" w:rsidRDefault="00B769DB" w:rsidP="00B769DB">
            <w:pPr>
              <w:spacing w:after="0" w:line="240" w:lineRule="auto"/>
              <w:rPr>
                <w:rFonts w:ascii="Aeonik" w:eastAsia="Times New Roman" w:hAnsi="Aeonik"/>
                <w:color w:val="171717"/>
              </w:rPr>
            </w:pPr>
            <w:r w:rsidRPr="00F4796B">
              <w:rPr>
                <w:rFonts w:ascii="Aeonik" w:eastAsia="Times New Roman" w:hAnsi="Aeonik" w:cs="Cambria"/>
                <w:color w:val="171717"/>
              </w:rPr>
              <w:t> </w:t>
            </w:r>
          </w:p>
        </w:tc>
        <w:tc>
          <w:tcPr>
            <w:tcW w:w="1346" w:type="pct"/>
            <w:tcBorders>
              <w:top w:val="nil"/>
              <w:left w:val="nil"/>
              <w:bottom w:val="single" w:sz="8" w:space="0" w:color="808080"/>
              <w:right w:val="single" w:sz="8" w:space="0" w:color="808080"/>
            </w:tcBorders>
            <w:vAlign w:val="center"/>
            <w:hideMark/>
          </w:tcPr>
          <w:p w14:paraId="563603F8"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c>
          <w:tcPr>
            <w:tcW w:w="2795" w:type="pct"/>
            <w:tcBorders>
              <w:top w:val="nil"/>
              <w:left w:val="nil"/>
              <w:bottom w:val="single" w:sz="8" w:space="0" w:color="808080"/>
              <w:right w:val="single" w:sz="8" w:space="0" w:color="808080"/>
            </w:tcBorders>
            <w:vAlign w:val="center"/>
            <w:hideMark/>
          </w:tcPr>
          <w:p w14:paraId="71431B28"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r>
      <w:tr w:rsidR="00B769DB" w:rsidRPr="00F4796B" w14:paraId="5A348130" w14:textId="77777777" w:rsidTr="00B769DB">
        <w:trPr>
          <w:trHeight w:val="293"/>
        </w:trPr>
        <w:tc>
          <w:tcPr>
            <w:tcW w:w="859" w:type="pct"/>
            <w:tcBorders>
              <w:top w:val="nil"/>
              <w:left w:val="single" w:sz="8" w:space="0" w:color="808080"/>
              <w:bottom w:val="single" w:sz="8" w:space="0" w:color="808080"/>
              <w:right w:val="single" w:sz="8" w:space="0" w:color="808080"/>
            </w:tcBorders>
            <w:vAlign w:val="center"/>
            <w:hideMark/>
          </w:tcPr>
          <w:p w14:paraId="5C8B6346" w14:textId="77777777" w:rsidR="00B769DB" w:rsidRPr="00F4796B" w:rsidRDefault="00B769DB" w:rsidP="00B769DB">
            <w:pPr>
              <w:spacing w:after="0" w:line="240" w:lineRule="auto"/>
              <w:ind w:firstLineChars="100" w:firstLine="220"/>
              <w:rPr>
                <w:rFonts w:ascii="Aeonik" w:eastAsia="Times New Roman" w:hAnsi="Aeonik"/>
                <w:color w:val="171717"/>
              </w:rPr>
            </w:pPr>
            <w:r w:rsidRPr="00F4796B">
              <w:rPr>
                <w:rFonts w:ascii="Aeonik" w:eastAsia="Times New Roman" w:hAnsi="Aeonik" w:cs="Cambria"/>
                <w:color w:val="171717"/>
              </w:rPr>
              <w:t> </w:t>
            </w:r>
          </w:p>
        </w:tc>
        <w:tc>
          <w:tcPr>
            <w:tcW w:w="1346" w:type="pct"/>
            <w:tcBorders>
              <w:top w:val="nil"/>
              <w:left w:val="nil"/>
              <w:bottom w:val="single" w:sz="8" w:space="0" w:color="808080"/>
              <w:right w:val="single" w:sz="8" w:space="0" w:color="808080"/>
            </w:tcBorders>
            <w:vAlign w:val="center"/>
            <w:hideMark/>
          </w:tcPr>
          <w:p w14:paraId="6A6C4ABF"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c>
          <w:tcPr>
            <w:tcW w:w="2795" w:type="pct"/>
            <w:tcBorders>
              <w:top w:val="nil"/>
              <w:left w:val="nil"/>
              <w:bottom w:val="single" w:sz="8" w:space="0" w:color="808080"/>
              <w:right w:val="single" w:sz="8" w:space="0" w:color="808080"/>
            </w:tcBorders>
            <w:vAlign w:val="center"/>
            <w:hideMark/>
          </w:tcPr>
          <w:p w14:paraId="577C64D1"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r>
    </w:tbl>
    <w:p w14:paraId="3A72E3CD" w14:textId="77777777" w:rsidR="00104152" w:rsidRPr="00F4796B" w:rsidRDefault="001B7B53">
      <w:pPr>
        <w:spacing w:after="0" w:line="240" w:lineRule="auto"/>
        <w:rPr>
          <w:rFonts w:ascii="Aeonik" w:hAnsi="Aeonik"/>
          <w:color w:val="171717"/>
        </w:rPr>
      </w:pPr>
      <w:r w:rsidRPr="00F4796B">
        <w:rPr>
          <w:rFonts w:ascii="Aeonik" w:hAnsi="Aeonik" w:cs="Cambria"/>
          <w:color w:val="171717"/>
        </w:rPr>
        <w:t> </w:t>
      </w:r>
    </w:p>
    <w:p w14:paraId="649A002B" w14:textId="77777777" w:rsidR="00104152" w:rsidRPr="00F4796B" w:rsidRDefault="001B7B53">
      <w:pPr>
        <w:spacing w:after="0" w:line="240" w:lineRule="auto"/>
        <w:rPr>
          <w:rFonts w:ascii="Aeonik" w:hAnsi="Aeonik"/>
          <w:color w:val="171717"/>
        </w:rPr>
      </w:pPr>
      <w:r w:rsidRPr="00F4796B">
        <w:rPr>
          <w:rFonts w:ascii="Aeonik" w:hAnsi="Aeonik" w:cs="Cambria"/>
          <w:color w:val="171717"/>
        </w:rPr>
        <w:t> </w:t>
      </w:r>
    </w:p>
    <w:p w14:paraId="03056384" w14:textId="77777777" w:rsidR="00104152" w:rsidRPr="00F4796B" w:rsidRDefault="001B7B53">
      <w:pPr>
        <w:spacing w:after="0" w:line="240" w:lineRule="auto"/>
        <w:jc w:val="center"/>
        <w:rPr>
          <w:rFonts w:ascii="Aeonik" w:hAnsi="Aeonik"/>
          <w:color w:val="171717"/>
        </w:rPr>
      </w:pPr>
      <w:r w:rsidRPr="00F4796B">
        <w:rPr>
          <w:rFonts w:ascii="Aeonik" w:hAnsi="Aeonik"/>
          <w:color w:val="171717"/>
        </w:rPr>
        <w:t>Indicators</w:t>
      </w:r>
    </w:p>
    <w:p w14:paraId="00C77608" w14:textId="77777777" w:rsidR="00104152" w:rsidRPr="00F4796B" w:rsidRDefault="001B7B53">
      <w:pPr>
        <w:spacing w:after="0" w:line="240" w:lineRule="auto"/>
        <w:rPr>
          <w:rFonts w:ascii="Aeonik" w:hAnsi="Aeonik"/>
          <w:color w:val="171717"/>
        </w:rPr>
      </w:pPr>
      <w:r w:rsidRPr="00F4796B">
        <w:rPr>
          <w:rFonts w:ascii="Aeonik" w:hAnsi="Aeonik" w:cs="Cambria"/>
          <w:color w:val="171717"/>
        </w:rPr>
        <w:t> </w:t>
      </w:r>
    </w:p>
    <w:tbl>
      <w:tblPr>
        <w:tblW w:w="10790" w:type="dxa"/>
        <w:tblLook w:val="04A0" w:firstRow="1" w:lastRow="0" w:firstColumn="1" w:lastColumn="0" w:noHBand="0" w:noVBand="1"/>
      </w:tblPr>
      <w:tblGrid>
        <w:gridCol w:w="3440"/>
        <w:gridCol w:w="7350"/>
      </w:tblGrid>
      <w:tr w:rsidR="00B769DB" w:rsidRPr="00F4796B" w14:paraId="341668AA" w14:textId="77777777" w:rsidTr="00B769DB">
        <w:trPr>
          <w:trHeight w:val="315"/>
        </w:trPr>
        <w:tc>
          <w:tcPr>
            <w:tcW w:w="3440" w:type="dxa"/>
            <w:tcBorders>
              <w:top w:val="single" w:sz="8" w:space="0" w:color="808080"/>
              <w:left w:val="single" w:sz="8" w:space="0" w:color="808080"/>
              <w:bottom w:val="single" w:sz="8" w:space="0" w:color="808080"/>
              <w:right w:val="single" w:sz="8" w:space="0" w:color="808080"/>
            </w:tcBorders>
            <w:vAlign w:val="center"/>
            <w:hideMark/>
          </w:tcPr>
          <w:p w14:paraId="61099129" w14:textId="77777777" w:rsidR="00B769DB" w:rsidRPr="00F4796B" w:rsidRDefault="00B769DB" w:rsidP="00B769DB">
            <w:pPr>
              <w:spacing w:after="0" w:line="240" w:lineRule="auto"/>
              <w:jc w:val="center"/>
              <w:rPr>
                <w:rFonts w:ascii="Aeonik" w:eastAsia="Times New Roman" w:hAnsi="Aeonik"/>
                <w:i/>
                <w:iCs/>
                <w:color w:val="171717"/>
              </w:rPr>
            </w:pPr>
            <w:r w:rsidRPr="00F4796B">
              <w:rPr>
                <w:rFonts w:ascii="Aeonik" w:eastAsia="Times New Roman" w:hAnsi="Aeonik"/>
                <w:i/>
                <w:iCs/>
                <w:color w:val="171717"/>
              </w:rPr>
              <w:t>Indicator </w:t>
            </w:r>
          </w:p>
        </w:tc>
        <w:tc>
          <w:tcPr>
            <w:tcW w:w="7350" w:type="dxa"/>
            <w:tcBorders>
              <w:top w:val="single" w:sz="8" w:space="0" w:color="808080"/>
              <w:left w:val="nil"/>
              <w:bottom w:val="single" w:sz="8" w:space="0" w:color="333333"/>
              <w:right w:val="single" w:sz="8" w:space="0" w:color="808080"/>
            </w:tcBorders>
            <w:vAlign w:val="center"/>
            <w:hideMark/>
          </w:tcPr>
          <w:p w14:paraId="4712B77F" w14:textId="77777777" w:rsidR="00B769DB" w:rsidRPr="00F4796B" w:rsidRDefault="00B769DB" w:rsidP="00B769DB">
            <w:pPr>
              <w:spacing w:after="0" w:line="240" w:lineRule="auto"/>
              <w:jc w:val="center"/>
              <w:rPr>
                <w:rFonts w:ascii="Aeonik" w:eastAsia="Times New Roman" w:hAnsi="Aeonik"/>
                <w:i/>
                <w:iCs/>
                <w:color w:val="171717"/>
              </w:rPr>
            </w:pPr>
            <w:r w:rsidRPr="00F4796B">
              <w:rPr>
                <w:rFonts w:ascii="Aeonik" w:eastAsia="Times New Roman" w:hAnsi="Aeonik"/>
                <w:i/>
                <w:iCs/>
                <w:color w:val="171717"/>
              </w:rPr>
              <w:t xml:space="preserve">Description of indicator and calculation method </w:t>
            </w:r>
          </w:p>
        </w:tc>
      </w:tr>
      <w:tr w:rsidR="001B3604" w:rsidRPr="00F4796B" w14:paraId="2FCF3C1E" w14:textId="77777777" w:rsidTr="00B769DB">
        <w:trPr>
          <w:trHeight w:val="315"/>
        </w:trPr>
        <w:tc>
          <w:tcPr>
            <w:tcW w:w="3440" w:type="dxa"/>
            <w:tcBorders>
              <w:top w:val="nil"/>
              <w:left w:val="single" w:sz="8" w:space="0" w:color="808080"/>
              <w:bottom w:val="single" w:sz="8" w:space="0" w:color="808080"/>
              <w:right w:val="single" w:sz="8" w:space="0" w:color="333333"/>
            </w:tcBorders>
            <w:vAlign w:val="center"/>
            <w:hideMark/>
          </w:tcPr>
          <w:p w14:paraId="5ABA2051" w14:textId="016CC6DC" w:rsidR="001B3604" w:rsidRPr="00F4796B" w:rsidRDefault="001B3604" w:rsidP="001B3604">
            <w:pPr>
              <w:spacing w:after="0" w:line="240" w:lineRule="auto"/>
              <w:jc w:val="center"/>
              <w:rPr>
                <w:rFonts w:ascii="Aeonik" w:eastAsia="Times New Roman" w:hAnsi="Aeonik"/>
                <w:color w:val="171717"/>
              </w:rPr>
            </w:pPr>
            <w:r w:rsidRPr="00C10C3D">
              <w:rPr>
                <w:rFonts w:ascii="Agrandir Text" w:eastAsia="Times New Roman" w:hAnsi="Agrandir Text" w:cs="Cambria"/>
                <w:color w:val="171717"/>
              </w:rPr>
              <w:t>Acceptance Rate</w:t>
            </w:r>
          </w:p>
        </w:tc>
        <w:tc>
          <w:tcPr>
            <w:tcW w:w="7350" w:type="dxa"/>
            <w:tcBorders>
              <w:top w:val="nil"/>
              <w:left w:val="nil"/>
              <w:bottom w:val="single" w:sz="8" w:space="0" w:color="333333"/>
              <w:right w:val="single" w:sz="8" w:space="0" w:color="333333"/>
            </w:tcBorders>
            <w:vAlign w:val="center"/>
            <w:hideMark/>
          </w:tcPr>
          <w:p w14:paraId="3176A61C" w14:textId="65777495" w:rsidR="001B3604" w:rsidRPr="00F4796B" w:rsidRDefault="001B3604" w:rsidP="001B3604">
            <w:pPr>
              <w:spacing w:after="0" w:line="240" w:lineRule="auto"/>
              <w:jc w:val="center"/>
              <w:rPr>
                <w:rFonts w:ascii="Aeonik" w:eastAsia="Times New Roman" w:hAnsi="Aeonik"/>
                <w:color w:val="333333"/>
              </w:rPr>
            </w:pPr>
            <w:r w:rsidRPr="00C10C3D">
              <w:rPr>
                <w:rFonts w:ascii="Cambria" w:eastAsia="Times New Roman" w:hAnsi="Cambria" w:cs="Cambria"/>
                <w:color w:val="333333"/>
              </w:rPr>
              <w:t>Total number of admitted students / total number of program applications </w:t>
            </w:r>
          </w:p>
        </w:tc>
      </w:tr>
      <w:tr w:rsidR="001B3604" w:rsidRPr="00F4796B" w14:paraId="741454C1" w14:textId="77777777" w:rsidTr="00B769DB">
        <w:trPr>
          <w:trHeight w:val="315"/>
        </w:trPr>
        <w:tc>
          <w:tcPr>
            <w:tcW w:w="3440" w:type="dxa"/>
            <w:tcBorders>
              <w:top w:val="nil"/>
              <w:left w:val="single" w:sz="8" w:space="0" w:color="808080"/>
              <w:bottom w:val="single" w:sz="8" w:space="0" w:color="808080"/>
              <w:right w:val="single" w:sz="8" w:space="0" w:color="808080"/>
            </w:tcBorders>
            <w:vAlign w:val="center"/>
            <w:hideMark/>
          </w:tcPr>
          <w:p w14:paraId="3C420A5D" w14:textId="1C456D05" w:rsidR="001B3604" w:rsidRPr="00F4796B" w:rsidRDefault="001B3604" w:rsidP="001B3604">
            <w:pPr>
              <w:spacing w:after="0" w:line="240" w:lineRule="auto"/>
              <w:jc w:val="center"/>
              <w:rPr>
                <w:rFonts w:ascii="Aeonik" w:eastAsia="Times New Roman" w:hAnsi="Aeonik"/>
                <w:color w:val="171717"/>
              </w:rPr>
            </w:pPr>
            <w:r w:rsidRPr="00C10C3D">
              <w:rPr>
                <w:rFonts w:ascii="Cambria" w:eastAsia="Times New Roman" w:hAnsi="Cambria" w:cs="Cambria"/>
                <w:color w:val="171717"/>
              </w:rPr>
              <w:t> </w:t>
            </w:r>
            <w:r w:rsidRPr="00C10C3D">
              <w:rPr>
                <w:rFonts w:ascii="Agrandir Text" w:eastAsia="Times New Roman" w:hAnsi="Agrandir Text" w:cs="Cambria"/>
                <w:color w:val="171717"/>
              </w:rPr>
              <w:t>Graduation Rate</w:t>
            </w:r>
          </w:p>
        </w:tc>
        <w:tc>
          <w:tcPr>
            <w:tcW w:w="7350" w:type="dxa"/>
            <w:tcBorders>
              <w:top w:val="nil"/>
              <w:left w:val="nil"/>
              <w:bottom w:val="single" w:sz="8" w:space="0" w:color="808080"/>
              <w:right w:val="single" w:sz="8" w:space="0" w:color="808080"/>
            </w:tcBorders>
            <w:vAlign w:val="center"/>
            <w:hideMark/>
          </w:tcPr>
          <w:p w14:paraId="4C9465DB" w14:textId="3719531F" w:rsidR="001B3604" w:rsidRPr="00F4796B" w:rsidRDefault="001B3604" w:rsidP="001B3604">
            <w:pPr>
              <w:spacing w:after="0" w:line="240" w:lineRule="auto"/>
              <w:jc w:val="center"/>
              <w:rPr>
                <w:rFonts w:ascii="Aeonik" w:eastAsia="Times New Roman" w:hAnsi="Aeonik"/>
                <w:color w:val="171717"/>
              </w:rPr>
            </w:pPr>
            <w:r w:rsidRPr="00C10C3D">
              <w:rPr>
                <w:rFonts w:ascii="Agrandir Text" w:hAnsi="Agrandir Text"/>
              </w:rPr>
              <w:t>Total number of students who complete the program / program cohort</w:t>
            </w:r>
            <w:r w:rsidRPr="00C10C3D">
              <w:rPr>
                <w:rFonts w:ascii="Agrandir Text" w:eastAsia="Times New Roman" w:hAnsi="Agrandir Text"/>
                <w:color w:val="171717"/>
              </w:rPr>
              <w:t xml:space="preserve"> </w:t>
            </w:r>
          </w:p>
        </w:tc>
      </w:tr>
      <w:tr w:rsidR="001B3604" w:rsidRPr="00F4796B" w14:paraId="226CC4EA" w14:textId="77777777" w:rsidTr="00B769DB">
        <w:trPr>
          <w:trHeight w:val="293"/>
        </w:trPr>
        <w:tc>
          <w:tcPr>
            <w:tcW w:w="3440" w:type="dxa"/>
            <w:tcBorders>
              <w:top w:val="nil"/>
              <w:left w:val="single" w:sz="8" w:space="0" w:color="808080"/>
              <w:bottom w:val="single" w:sz="8" w:space="0" w:color="808080"/>
              <w:right w:val="single" w:sz="8" w:space="0" w:color="808080"/>
            </w:tcBorders>
            <w:vAlign w:val="center"/>
            <w:hideMark/>
          </w:tcPr>
          <w:p w14:paraId="4B0453EB" w14:textId="6CB6B65F" w:rsidR="001B3604" w:rsidRPr="00F4796B" w:rsidRDefault="001B3604" w:rsidP="001B3604">
            <w:pPr>
              <w:spacing w:after="0" w:line="240" w:lineRule="auto"/>
              <w:jc w:val="center"/>
              <w:rPr>
                <w:rFonts w:ascii="Aeonik" w:eastAsia="Times New Roman" w:hAnsi="Aeonik"/>
                <w:color w:val="171717"/>
              </w:rPr>
            </w:pPr>
            <w:r w:rsidRPr="00C10C3D">
              <w:rPr>
                <w:rFonts w:ascii="Cambria" w:eastAsia="Times New Roman" w:hAnsi="Cambria" w:cs="Cambria"/>
                <w:color w:val="171717"/>
              </w:rPr>
              <w:t> Persistence Rate</w:t>
            </w:r>
          </w:p>
        </w:tc>
        <w:tc>
          <w:tcPr>
            <w:tcW w:w="7350" w:type="dxa"/>
            <w:tcBorders>
              <w:top w:val="nil"/>
              <w:left w:val="nil"/>
              <w:bottom w:val="single" w:sz="8" w:space="0" w:color="808080"/>
              <w:right w:val="single" w:sz="8" w:space="0" w:color="808080"/>
            </w:tcBorders>
            <w:vAlign w:val="center"/>
            <w:hideMark/>
          </w:tcPr>
          <w:p w14:paraId="0014361E" w14:textId="074C814D" w:rsidR="001B3604" w:rsidRPr="00F4796B" w:rsidRDefault="001B3604" w:rsidP="001B3604">
            <w:pPr>
              <w:spacing w:after="0" w:line="240" w:lineRule="auto"/>
              <w:jc w:val="center"/>
              <w:rPr>
                <w:rFonts w:ascii="Aeonik" w:eastAsia="Times New Roman" w:hAnsi="Aeonik"/>
                <w:color w:val="171717"/>
              </w:rPr>
            </w:pPr>
            <w:r w:rsidRPr="00C10C3D">
              <w:rPr>
                <w:rFonts w:ascii="Cambria" w:eastAsia="Times New Roman" w:hAnsi="Cambria" w:cs="Cambria"/>
                <w:color w:val="171717"/>
              </w:rPr>
              <w:t>Graduation rate + Retention rate </w:t>
            </w:r>
          </w:p>
        </w:tc>
      </w:tr>
      <w:tr w:rsidR="00B769DB" w:rsidRPr="00F4796B" w14:paraId="4DA786EA" w14:textId="77777777" w:rsidTr="00B769DB">
        <w:trPr>
          <w:trHeight w:val="293"/>
        </w:trPr>
        <w:tc>
          <w:tcPr>
            <w:tcW w:w="3440" w:type="dxa"/>
            <w:tcBorders>
              <w:top w:val="nil"/>
              <w:left w:val="single" w:sz="8" w:space="0" w:color="808080"/>
              <w:bottom w:val="single" w:sz="8" w:space="0" w:color="808080"/>
              <w:right w:val="single" w:sz="8" w:space="0" w:color="808080"/>
            </w:tcBorders>
            <w:vAlign w:val="center"/>
            <w:hideMark/>
          </w:tcPr>
          <w:p w14:paraId="41CAF856"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c>
          <w:tcPr>
            <w:tcW w:w="7350" w:type="dxa"/>
            <w:tcBorders>
              <w:top w:val="nil"/>
              <w:left w:val="nil"/>
              <w:bottom w:val="single" w:sz="8" w:space="0" w:color="808080"/>
              <w:right w:val="single" w:sz="8" w:space="0" w:color="808080"/>
            </w:tcBorders>
            <w:vAlign w:val="center"/>
            <w:hideMark/>
          </w:tcPr>
          <w:p w14:paraId="22A5CC9E" w14:textId="77777777" w:rsidR="00B769DB" w:rsidRPr="00F4796B" w:rsidRDefault="00B769DB" w:rsidP="00B769DB">
            <w:pPr>
              <w:spacing w:after="0" w:line="240" w:lineRule="auto"/>
              <w:jc w:val="center"/>
              <w:rPr>
                <w:rFonts w:ascii="Aeonik" w:eastAsia="Times New Roman" w:hAnsi="Aeonik"/>
                <w:color w:val="171717"/>
              </w:rPr>
            </w:pPr>
            <w:r w:rsidRPr="00F4796B">
              <w:rPr>
                <w:rFonts w:ascii="Aeonik" w:eastAsia="Times New Roman" w:hAnsi="Aeonik" w:cs="Cambria"/>
                <w:color w:val="171717"/>
              </w:rPr>
              <w:t> </w:t>
            </w:r>
          </w:p>
        </w:tc>
      </w:tr>
    </w:tbl>
    <w:p w14:paraId="69BBC67E" w14:textId="77777777" w:rsidR="00104152" w:rsidRPr="00F4796B" w:rsidRDefault="00104152">
      <w:pPr>
        <w:pStyle w:val="Heading2"/>
        <w:spacing w:line="240" w:lineRule="auto"/>
        <w:rPr>
          <w:rFonts w:ascii="Aeonik" w:hAnsi="Aeonik"/>
          <w:color w:val="171717"/>
          <w:sz w:val="22"/>
          <w:szCs w:val="22"/>
        </w:rPr>
      </w:pPr>
    </w:p>
    <w:p w14:paraId="63BAC376" w14:textId="77777777" w:rsidR="00104152" w:rsidRPr="00F4796B" w:rsidRDefault="001B7B53">
      <w:pPr>
        <w:pStyle w:val="Heading3"/>
        <w:rPr>
          <w:rFonts w:ascii="Aeonik" w:hAnsi="Aeonik"/>
          <w:i/>
          <w:color w:val="171717"/>
        </w:rPr>
      </w:pPr>
      <w:r w:rsidRPr="00F4796B">
        <w:rPr>
          <w:rFonts w:ascii="Aeonik" w:hAnsi="Aeonik"/>
          <w:color w:val="171717"/>
        </w:rPr>
        <w:t>Additional Notes:</w:t>
      </w:r>
      <w:r w:rsidRPr="00F4796B">
        <w:rPr>
          <w:rFonts w:ascii="Aeonik" w:hAnsi="Aeonik"/>
          <w:i/>
          <w:color w:val="171717"/>
        </w:rPr>
        <w:t xml:space="preserve"> </w:t>
      </w:r>
    </w:p>
    <w:p w14:paraId="2CA4566C" w14:textId="77777777" w:rsidR="00104152" w:rsidRPr="00F4796B" w:rsidRDefault="00104152">
      <w:pPr>
        <w:spacing w:after="0" w:line="240" w:lineRule="auto"/>
        <w:rPr>
          <w:rFonts w:ascii="Aeonik" w:hAnsi="Aeonik"/>
          <w:color w:val="171717"/>
        </w:rPr>
      </w:pPr>
    </w:p>
    <w:p w14:paraId="3794499F" w14:textId="77777777" w:rsidR="00104152" w:rsidRPr="00F4796B" w:rsidRDefault="00104152">
      <w:pPr>
        <w:spacing w:after="0" w:line="240" w:lineRule="auto"/>
        <w:rPr>
          <w:rFonts w:ascii="Aeonik" w:hAnsi="Aeonik"/>
          <w:color w:val="171717"/>
        </w:rPr>
      </w:pPr>
    </w:p>
    <w:p w14:paraId="4ED9312D" w14:textId="77777777" w:rsidR="00104152" w:rsidRPr="00F4796B" w:rsidRDefault="00104152">
      <w:pPr>
        <w:spacing w:after="0" w:line="240" w:lineRule="auto"/>
        <w:rPr>
          <w:rFonts w:ascii="Aeonik" w:hAnsi="Aeonik"/>
          <w:color w:val="171717"/>
        </w:rPr>
      </w:pPr>
    </w:p>
    <w:p w14:paraId="7D407212" w14:textId="77777777" w:rsidR="00104152" w:rsidRPr="00F4796B" w:rsidRDefault="00104152">
      <w:pPr>
        <w:spacing w:after="0" w:line="240" w:lineRule="auto"/>
        <w:rPr>
          <w:rFonts w:ascii="Aeonik" w:hAnsi="Aeonik"/>
          <w:color w:val="171717"/>
        </w:rPr>
      </w:pPr>
    </w:p>
    <w:p w14:paraId="2C651DDE" w14:textId="77777777" w:rsidR="00104152" w:rsidRPr="00F4796B" w:rsidRDefault="00104152">
      <w:pPr>
        <w:spacing w:after="0" w:line="240" w:lineRule="auto"/>
        <w:rPr>
          <w:rFonts w:ascii="Aeonik" w:hAnsi="Aeonik"/>
          <w:color w:val="171717"/>
        </w:rPr>
      </w:pPr>
    </w:p>
    <w:p w14:paraId="3E3794E8" w14:textId="77777777" w:rsidR="00104152" w:rsidRPr="00F4796B" w:rsidRDefault="00104152">
      <w:pPr>
        <w:spacing w:after="0" w:line="240" w:lineRule="auto"/>
        <w:rPr>
          <w:rFonts w:ascii="Aeonik" w:hAnsi="Aeonik"/>
          <w:color w:val="171717"/>
        </w:rPr>
      </w:pPr>
    </w:p>
    <w:p w14:paraId="75585827" w14:textId="77777777" w:rsidR="00104152" w:rsidRPr="00F4796B" w:rsidRDefault="00104152">
      <w:pPr>
        <w:spacing w:after="0" w:line="240" w:lineRule="auto"/>
        <w:rPr>
          <w:rFonts w:ascii="Aeonik" w:hAnsi="Aeonik"/>
          <w:color w:val="171717"/>
        </w:rPr>
      </w:pPr>
    </w:p>
    <w:p w14:paraId="593AC222" w14:textId="77777777" w:rsidR="00104152" w:rsidRPr="00F4796B" w:rsidRDefault="00104152">
      <w:pPr>
        <w:spacing w:after="0" w:line="240" w:lineRule="auto"/>
        <w:rPr>
          <w:rFonts w:ascii="Aeonik" w:hAnsi="Aeonik"/>
          <w:color w:val="171717"/>
        </w:rPr>
      </w:pPr>
    </w:p>
    <w:p w14:paraId="3E3676D5" w14:textId="77777777" w:rsidR="00104152" w:rsidRPr="00F4796B" w:rsidRDefault="00104152">
      <w:pPr>
        <w:spacing w:after="0" w:line="240" w:lineRule="auto"/>
        <w:rPr>
          <w:rFonts w:ascii="Aeonik" w:hAnsi="Aeonik"/>
          <w:color w:val="171717"/>
        </w:rPr>
      </w:pPr>
    </w:p>
    <w:p w14:paraId="4A79931C" w14:textId="77777777" w:rsidR="00104152" w:rsidRPr="00F4796B" w:rsidRDefault="00104152">
      <w:pPr>
        <w:spacing w:after="0" w:line="240" w:lineRule="auto"/>
        <w:rPr>
          <w:rFonts w:ascii="Aeonik" w:hAnsi="Aeonik"/>
          <w:color w:val="171717"/>
        </w:rPr>
      </w:pPr>
    </w:p>
    <w:p w14:paraId="350D68D2" w14:textId="77777777" w:rsidR="00104152" w:rsidRPr="00F4796B" w:rsidRDefault="00104152">
      <w:pPr>
        <w:spacing w:after="0" w:line="240" w:lineRule="auto"/>
        <w:rPr>
          <w:rFonts w:ascii="Aeonik" w:hAnsi="Aeonik"/>
          <w:color w:val="171717"/>
        </w:rPr>
      </w:pPr>
    </w:p>
    <w:p w14:paraId="5E7B1D59" w14:textId="77777777" w:rsidR="00104152" w:rsidRPr="00F4796B" w:rsidRDefault="00104152">
      <w:pPr>
        <w:spacing w:after="0" w:line="240" w:lineRule="auto"/>
        <w:rPr>
          <w:rFonts w:ascii="Aeonik" w:hAnsi="Aeonik"/>
          <w:color w:val="171717"/>
        </w:rPr>
      </w:pPr>
    </w:p>
    <w:p w14:paraId="3421D01A" w14:textId="77777777" w:rsidR="00104152" w:rsidRPr="00F4796B" w:rsidRDefault="001B7B53">
      <w:pPr>
        <w:spacing w:after="0" w:line="240" w:lineRule="auto"/>
        <w:rPr>
          <w:rFonts w:ascii="Aeonik" w:hAnsi="Aeonik"/>
          <w:color w:val="171717"/>
        </w:rPr>
      </w:pPr>
      <w:r w:rsidRPr="00F4796B">
        <w:rPr>
          <w:rFonts w:ascii="Aeonik" w:hAnsi="Aeonik"/>
          <w:color w:val="171717"/>
        </w:rPr>
        <w:t>Submission Date:</w:t>
      </w:r>
    </w:p>
    <w:p w14:paraId="5E72DD46" w14:textId="77777777" w:rsidR="00DB7984" w:rsidRDefault="00DB7984">
      <w:pPr>
        <w:tabs>
          <w:tab w:val="left" w:pos="3780"/>
        </w:tabs>
        <w:jc w:val="center"/>
        <w:rPr>
          <w:rFonts w:ascii="Aeonik" w:hAnsi="Aeonik"/>
          <w:i/>
          <w:color w:val="595959"/>
          <w:sz w:val="21"/>
          <w:szCs w:val="21"/>
        </w:rPr>
      </w:pPr>
    </w:p>
    <w:p w14:paraId="10393716" w14:textId="267E82F6" w:rsidR="00104152" w:rsidRPr="00F4796B" w:rsidRDefault="001B7B53">
      <w:pPr>
        <w:tabs>
          <w:tab w:val="left" w:pos="3780"/>
        </w:tabs>
        <w:jc w:val="center"/>
        <w:rPr>
          <w:rFonts w:ascii="Aeonik" w:hAnsi="Aeonik"/>
          <w:i/>
          <w:color w:val="595959"/>
          <w:sz w:val="21"/>
          <w:szCs w:val="21"/>
        </w:rPr>
      </w:pPr>
      <w:r w:rsidRPr="00F4796B">
        <w:rPr>
          <w:rFonts w:ascii="Aeonik" w:hAnsi="Aeonik"/>
          <w:i/>
          <w:color w:val="595959"/>
          <w:sz w:val="21"/>
          <w:szCs w:val="21"/>
        </w:rPr>
        <w:t>Student Achievement</w:t>
      </w:r>
    </w:p>
    <w:p w14:paraId="7E02FEF6" w14:textId="77777777" w:rsidR="00104152" w:rsidRPr="00F4796B" w:rsidRDefault="001B7B53">
      <w:pPr>
        <w:spacing w:after="0" w:line="240" w:lineRule="auto"/>
        <w:rPr>
          <w:rFonts w:ascii="Aeonik" w:hAnsi="Aeonik"/>
          <w:color w:val="595959"/>
          <w:sz w:val="21"/>
          <w:szCs w:val="21"/>
        </w:rPr>
      </w:pPr>
      <w:r w:rsidRPr="00F4796B">
        <w:rPr>
          <w:rFonts w:ascii="Aeonik" w:hAnsi="Aeonik"/>
          <w:color w:val="595959"/>
          <w:sz w:val="21"/>
          <w:szCs w:val="21"/>
        </w:rPr>
        <w:t xml:space="preserve">GAC accredited programs must provide evidence of student achievement. </w:t>
      </w:r>
    </w:p>
    <w:p w14:paraId="53FC1781" w14:textId="77777777" w:rsidR="00104152" w:rsidRPr="00F4796B" w:rsidRDefault="00104152">
      <w:pPr>
        <w:spacing w:after="0" w:line="240" w:lineRule="auto"/>
        <w:rPr>
          <w:rFonts w:ascii="Aeonik" w:hAnsi="Aeonik"/>
          <w:color w:val="595959"/>
          <w:sz w:val="21"/>
          <w:szCs w:val="21"/>
        </w:rPr>
      </w:pPr>
    </w:p>
    <w:p w14:paraId="091E9EB0" w14:textId="77777777" w:rsidR="00104152" w:rsidRPr="00F4796B" w:rsidRDefault="001B7B53">
      <w:pPr>
        <w:spacing w:after="0" w:line="240" w:lineRule="auto"/>
        <w:rPr>
          <w:rFonts w:ascii="Aeonik" w:hAnsi="Aeonik"/>
          <w:color w:val="595959"/>
          <w:sz w:val="21"/>
          <w:szCs w:val="21"/>
        </w:rPr>
      </w:pPr>
      <w:r w:rsidRPr="00F4796B">
        <w:rPr>
          <w:rFonts w:ascii="Aeonik" w:hAnsi="Aeonik"/>
          <w:color w:val="595959"/>
          <w:sz w:val="21"/>
          <w:szCs w:val="21"/>
        </w:rPr>
        <w:t>Examples of student achievement:</w:t>
      </w:r>
    </w:p>
    <w:p w14:paraId="76BA6BD9" w14:textId="77777777" w:rsidR="00104152" w:rsidRPr="00F4796B" w:rsidRDefault="001B7B53">
      <w:pPr>
        <w:numPr>
          <w:ilvl w:val="0"/>
          <w:numId w:val="1"/>
        </w:numPr>
        <w:spacing w:after="0" w:line="240" w:lineRule="auto"/>
        <w:rPr>
          <w:rFonts w:ascii="Aeonik" w:hAnsi="Aeonik"/>
          <w:color w:val="595959"/>
          <w:sz w:val="21"/>
          <w:szCs w:val="21"/>
        </w:rPr>
      </w:pPr>
      <w:r w:rsidRPr="00F4796B">
        <w:rPr>
          <w:rFonts w:ascii="Aeonik" w:hAnsi="Aeonik"/>
          <w:color w:val="595959"/>
          <w:sz w:val="21"/>
          <w:szCs w:val="21"/>
        </w:rPr>
        <w:t>Graduation Rates</w:t>
      </w:r>
    </w:p>
    <w:p w14:paraId="68C86096" w14:textId="77777777" w:rsidR="00104152" w:rsidRPr="00F4796B" w:rsidRDefault="001B7B53">
      <w:pPr>
        <w:numPr>
          <w:ilvl w:val="0"/>
          <w:numId w:val="1"/>
        </w:numPr>
        <w:spacing w:after="0" w:line="240" w:lineRule="auto"/>
        <w:rPr>
          <w:rFonts w:ascii="Aeonik" w:hAnsi="Aeonik"/>
          <w:color w:val="595959"/>
          <w:sz w:val="21"/>
          <w:szCs w:val="21"/>
        </w:rPr>
      </w:pPr>
      <w:r w:rsidRPr="00F4796B">
        <w:rPr>
          <w:rFonts w:ascii="Aeonik" w:hAnsi="Aeonik"/>
          <w:color w:val="595959"/>
          <w:sz w:val="21"/>
          <w:szCs w:val="21"/>
        </w:rPr>
        <w:t>Retention</w:t>
      </w:r>
    </w:p>
    <w:p w14:paraId="6A2E44F7" w14:textId="77777777" w:rsidR="00104152" w:rsidRPr="00F4796B" w:rsidRDefault="001B7B53">
      <w:pPr>
        <w:numPr>
          <w:ilvl w:val="0"/>
          <w:numId w:val="1"/>
        </w:numPr>
        <w:spacing w:after="0" w:line="240" w:lineRule="auto"/>
        <w:rPr>
          <w:rFonts w:ascii="Aeonik" w:hAnsi="Aeonik"/>
          <w:color w:val="595959"/>
          <w:sz w:val="21"/>
          <w:szCs w:val="21"/>
        </w:rPr>
      </w:pPr>
      <w:r w:rsidRPr="00F4796B">
        <w:rPr>
          <w:rFonts w:ascii="Aeonik" w:hAnsi="Aeonik"/>
          <w:color w:val="595959"/>
          <w:sz w:val="21"/>
          <w:szCs w:val="21"/>
        </w:rPr>
        <w:t>Attrition</w:t>
      </w:r>
    </w:p>
    <w:p w14:paraId="0C1895D8" w14:textId="77777777" w:rsidR="00104152" w:rsidRPr="00F4796B" w:rsidRDefault="001B7B53">
      <w:pPr>
        <w:numPr>
          <w:ilvl w:val="0"/>
          <w:numId w:val="1"/>
        </w:numPr>
        <w:spacing w:after="0" w:line="240" w:lineRule="auto"/>
        <w:rPr>
          <w:rFonts w:ascii="Aeonik" w:hAnsi="Aeonik"/>
          <w:color w:val="595959"/>
          <w:sz w:val="21"/>
          <w:szCs w:val="21"/>
        </w:rPr>
      </w:pPr>
      <w:r w:rsidRPr="00F4796B">
        <w:rPr>
          <w:rFonts w:ascii="Aeonik" w:hAnsi="Aeonik"/>
          <w:color w:val="595959"/>
          <w:sz w:val="21"/>
          <w:szCs w:val="21"/>
        </w:rPr>
        <w:t xml:space="preserve">Job Placement </w:t>
      </w:r>
    </w:p>
    <w:p w14:paraId="26393857" w14:textId="77777777" w:rsidR="00104152" w:rsidRPr="00F4796B" w:rsidRDefault="001B7B53">
      <w:pPr>
        <w:numPr>
          <w:ilvl w:val="0"/>
          <w:numId w:val="1"/>
        </w:numPr>
        <w:spacing w:after="0" w:line="240" w:lineRule="auto"/>
        <w:rPr>
          <w:rFonts w:ascii="Aeonik" w:hAnsi="Aeonik"/>
          <w:color w:val="595959"/>
          <w:sz w:val="21"/>
          <w:szCs w:val="21"/>
        </w:rPr>
      </w:pPr>
      <w:r w:rsidRPr="00F4796B">
        <w:rPr>
          <w:rFonts w:ascii="Aeonik" w:hAnsi="Aeonik"/>
          <w:color w:val="595959"/>
          <w:sz w:val="21"/>
          <w:szCs w:val="21"/>
        </w:rPr>
        <w:t>Graduate School Acceptance Rates</w:t>
      </w:r>
    </w:p>
    <w:p w14:paraId="7C333645" w14:textId="77777777" w:rsidR="00104152" w:rsidRPr="00F4796B" w:rsidRDefault="001B7B53">
      <w:pPr>
        <w:numPr>
          <w:ilvl w:val="0"/>
          <w:numId w:val="1"/>
        </w:numPr>
        <w:spacing w:after="0" w:line="240" w:lineRule="auto"/>
        <w:rPr>
          <w:rFonts w:ascii="Aeonik" w:hAnsi="Aeonik"/>
          <w:color w:val="595959"/>
          <w:sz w:val="21"/>
          <w:szCs w:val="21"/>
        </w:rPr>
      </w:pPr>
      <w:r w:rsidRPr="00F4796B">
        <w:rPr>
          <w:rFonts w:ascii="Aeonik" w:hAnsi="Aeonik"/>
          <w:color w:val="595959"/>
          <w:sz w:val="21"/>
          <w:szCs w:val="21"/>
        </w:rPr>
        <w:t>Employment Advancement</w:t>
      </w:r>
    </w:p>
    <w:p w14:paraId="53B5FF02" w14:textId="77777777" w:rsidR="00104152" w:rsidRPr="00F4796B" w:rsidRDefault="001B7B53">
      <w:pPr>
        <w:numPr>
          <w:ilvl w:val="0"/>
          <w:numId w:val="1"/>
        </w:numPr>
        <w:spacing w:after="0" w:line="240" w:lineRule="auto"/>
        <w:rPr>
          <w:rFonts w:ascii="Aeonik" w:hAnsi="Aeonik"/>
          <w:color w:val="595959"/>
          <w:sz w:val="21"/>
          <w:szCs w:val="21"/>
        </w:rPr>
      </w:pPr>
      <w:r w:rsidRPr="00F4796B">
        <w:rPr>
          <w:rFonts w:ascii="Aeonik" w:hAnsi="Aeonik"/>
          <w:color w:val="595959"/>
          <w:sz w:val="21"/>
          <w:szCs w:val="21"/>
        </w:rPr>
        <w:t>Certification Pass Rates</w:t>
      </w:r>
    </w:p>
    <w:p w14:paraId="0804D901" w14:textId="77777777" w:rsidR="00104152" w:rsidRPr="00F4796B" w:rsidRDefault="00104152">
      <w:pPr>
        <w:spacing w:after="0" w:line="240" w:lineRule="auto"/>
        <w:rPr>
          <w:rFonts w:ascii="Aeonik" w:hAnsi="Aeonik"/>
          <w:color w:val="595959"/>
          <w:sz w:val="21"/>
          <w:szCs w:val="21"/>
        </w:rPr>
      </w:pPr>
    </w:p>
    <w:p w14:paraId="3D05B6B5" w14:textId="77777777" w:rsidR="00104152" w:rsidRPr="00F4796B" w:rsidRDefault="001B7B53">
      <w:pPr>
        <w:rPr>
          <w:rFonts w:ascii="Aeonik" w:hAnsi="Aeonik"/>
          <w:color w:val="595959"/>
          <w:sz w:val="21"/>
          <w:szCs w:val="21"/>
        </w:rPr>
      </w:pPr>
      <w:r w:rsidRPr="00F4796B">
        <w:rPr>
          <w:rFonts w:ascii="Aeonik" w:hAnsi="Aeonik"/>
          <w:color w:val="595959"/>
          <w:sz w:val="21"/>
          <w:szCs w:val="21"/>
        </w:rPr>
        <w:t xml:space="preserve">Choose at least one indicator to report on annually. Evidence should be provided using the GAC Public Disclosure of Student Achievement template. Once the template has been completed, upload the template to the program’s main page and provide the link to GAC. This GAC Public Disclosure of Student Achievement template must be updated annually. GAC staff will review the link and report annually. </w:t>
      </w:r>
    </w:p>
    <w:p w14:paraId="1F3F1233" w14:textId="3D90164F" w:rsidR="00104152" w:rsidRPr="00F4796B" w:rsidRDefault="001B7B53">
      <w:pPr>
        <w:rPr>
          <w:rFonts w:ascii="Aeonik" w:hAnsi="Aeonik"/>
          <w:color w:val="595959"/>
          <w:sz w:val="21"/>
          <w:szCs w:val="21"/>
        </w:rPr>
      </w:pPr>
      <w:r w:rsidRPr="00F4796B">
        <w:rPr>
          <w:rFonts w:ascii="Aeonik" w:hAnsi="Aeonik"/>
          <w:color w:val="595959"/>
          <w:sz w:val="21"/>
          <w:szCs w:val="21"/>
        </w:rPr>
        <w:t>Example:</w:t>
      </w:r>
      <w:r w:rsidRPr="00F4796B">
        <w:rPr>
          <w:rFonts w:ascii="Aeonik" w:hAnsi="Aeonik"/>
          <w:color w:val="595959"/>
          <w:sz w:val="21"/>
          <w:szCs w:val="21"/>
        </w:rPr>
        <w:br/>
        <w:t xml:space="preserve">Academic Period Covered: </w:t>
      </w:r>
      <w:r w:rsidR="00B769DB" w:rsidRPr="00F4796B">
        <w:rPr>
          <w:rFonts w:ascii="Aeonik" w:hAnsi="Aeonik"/>
          <w:color w:val="595959"/>
          <w:sz w:val="21"/>
          <w:szCs w:val="21"/>
        </w:rPr>
        <w:t>2022-2023</w:t>
      </w:r>
    </w:p>
    <w:p w14:paraId="5BB49A3B" w14:textId="77777777" w:rsidR="00B769DB" w:rsidRPr="00F4796B" w:rsidRDefault="00B769DB">
      <w:pPr>
        <w:rPr>
          <w:rFonts w:ascii="Aeonik" w:hAnsi="Aeonik"/>
          <w:color w:val="595959"/>
          <w:sz w:val="21"/>
          <w:szCs w:val="21"/>
        </w:rPr>
      </w:pPr>
    </w:p>
    <w:tbl>
      <w:tblPr>
        <w:tblW w:w="10320" w:type="dxa"/>
        <w:tblLook w:val="04A0" w:firstRow="1" w:lastRow="0" w:firstColumn="1" w:lastColumn="0" w:noHBand="0" w:noVBand="1"/>
      </w:tblPr>
      <w:tblGrid>
        <w:gridCol w:w="3440"/>
        <w:gridCol w:w="3440"/>
        <w:gridCol w:w="3440"/>
      </w:tblGrid>
      <w:tr w:rsidR="00B769DB" w:rsidRPr="00F4796B" w14:paraId="183CD466" w14:textId="77777777" w:rsidTr="00B769DB">
        <w:trPr>
          <w:trHeight w:val="300"/>
        </w:trPr>
        <w:tc>
          <w:tcPr>
            <w:tcW w:w="3440" w:type="dxa"/>
            <w:tcBorders>
              <w:top w:val="single" w:sz="8" w:space="0" w:color="auto"/>
              <w:left w:val="single" w:sz="8" w:space="0" w:color="auto"/>
              <w:bottom w:val="single" w:sz="8" w:space="0" w:color="auto"/>
              <w:right w:val="single" w:sz="8" w:space="0" w:color="auto"/>
            </w:tcBorders>
            <w:vAlign w:val="center"/>
            <w:hideMark/>
          </w:tcPr>
          <w:p w14:paraId="385A3F45" w14:textId="77777777" w:rsidR="00B769DB" w:rsidRPr="00F4796B" w:rsidRDefault="00B769DB" w:rsidP="00B769DB">
            <w:pPr>
              <w:spacing w:after="0" w:line="240" w:lineRule="auto"/>
              <w:jc w:val="center"/>
              <w:rPr>
                <w:rFonts w:ascii="Aeonik" w:eastAsia="Times New Roman" w:hAnsi="Aeonik"/>
                <w:i/>
                <w:iCs/>
                <w:color w:val="595959"/>
                <w:sz w:val="21"/>
                <w:szCs w:val="21"/>
              </w:rPr>
            </w:pPr>
            <w:r w:rsidRPr="00F4796B">
              <w:rPr>
                <w:rFonts w:ascii="Aeonik" w:eastAsia="Times New Roman" w:hAnsi="Aeonik"/>
                <w:i/>
                <w:iCs/>
                <w:color w:val="595959"/>
                <w:sz w:val="21"/>
                <w:szCs w:val="21"/>
              </w:rPr>
              <w:t>Program Name </w:t>
            </w:r>
          </w:p>
        </w:tc>
        <w:tc>
          <w:tcPr>
            <w:tcW w:w="3440" w:type="dxa"/>
            <w:tcBorders>
              <w:top w:val="single" w:sz="8" w:space="0" w:color="auto"/>
              <w:left w:val="nil"/>
              <w:bottom w:val="single" w:sz="8" w:space="0" w:color="auto"/>
              <w:right w:val="single" w:sz="8" w:space="0" w:color="auto"/>
            </w:tcBorders>
            <w:vAlign w:val="center"/>
            <w:hideMark/>
          </w:tcPr>
          <w:p w14:paraId="793A08BD" w14:textId="550F9819" w:rsidR="00B769DB" w:rsidRPr="00F4796B" w:rsidRDefault="00B769DB" w:rsidP="00B769DB">
            <w:pPr>
              <w:spacing w:after="0" w:line="240" w:lineRule="auto"/>
              <w:jc w:val="center"/>
              <w:rPr>
                <w:rFonts w:ascii="Aeonik" w:eastAsia="Times New Roman" w:hAnsi="Aeonik"/>
                <w:color w:val="0563C1"/>
                <w:u w:val="single"/>
              </w:rPr>
            </w:pPr>
            <w:r w:rsidRPr="00F4796B">
              <w:rPr>
                <w:rFonts w:ascii="Aeonik" w:eastAsia="Times New Roman" w:hAnsi="Aeonik"/>
                <w:color w:val="0563C1"/>
                <w:u w:val="single"/>
              </w:rPr>
              <w:t>Indicator [1]</w:t>
            </w:r>
          </w:p>
        </w:tc>
        <w:tc>
          <w:tcPr>
            <w:tcW w:w="3440" w:type="dxa"/>
            <w:tcBorders>
              <w:top w:val="single" w:sz="8" w:space="0" w:color="auto"/>
              <w:left w:val="nil"/>
              <w:bottom w:val="single" w:sz="8" w:space="0" w:color="auto"/>
              <w:right w:val="single" w:sz="8" w:space="0" w:color="auto"/>
            </w:tcBorders>
            <w:vAlign w:val="center"/>
            <w:hideMark/>
          </w:tcPr>
          <w:p w14:paraId="426E3039" w14:textId="77777777" w:rsidR="00B769DB" w:rsidRPr="00F4796B" w:rsidRDefault="00B769DB" w:rsidP="00B769DB">
            <w:pPr>
              <w:spacing w:after="0" w:line="240" w:lineRule="auto"/>
              <w:jc w:val="center"/>
              <w:rPr>
                <w:rFonts w:ascii="Aeonik" w:eastAsia="Times New Roman" w:hAnsi="Aeonik"/>
                <w:i/>
                <w:iCs/>
                <w:color w:val="595959"/>
                <w:sz w:val="21"/>
                <w:szCs w:val="21"/>
              </w:rPr>
            </w:pPr>
            <w:r w:rsidRPr="00F4796B">
              <w:rPr>
                <w:rFonts w:ascii="Aeonik" w:eastAsia="Times New Roman" w:hAnsi="Aeonik"/>
                <w:i/>
                <w:iCs/>
                <w:color w:val="595959"/>
                <w:sz w:val="21"/>
                <w:szCs w:val="21"/>
              </w:rPr>
              <w:t>Outcome </w:t>
            </w:r>
          </w:p>
        </w:tc>
      </w:tr>
      <w:tr w:rsidR="00B769DB" w:rsidRPr="00F4796B" w14:paraId="4DC35A20" w14:textId="77777777" w:rsidTr="00B769DB">
        <w:trPr>
          <w:trHeight w:val="593"/>
        </w:trPr>
        <w:tc>
          <w:tcPr>
            <w:tcW w:w="3440" w:type="dxa"/>
            <w:tcBorders>
              <w:top w:val="nil"/>
              <w:left w:val="single" w:sz="8" w:space="0" w:color="auto"/>
              <w:bottom w:val="single" w:sz="8" w:space="0" w:color="auto"/>
              <w:right w:val="single" w:sz="8" w:space="0" w:color="auto"/>
            </w:tcBorders>
            <w:vAlign w:val="center"/>
            <w:hideMark/>
          </w:tcPr>
          <w:p w14:paraId="70AD10CA"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MS in Project Management</w:t>
            </w:r>
          </w:p>
        </w:tc>
        <w:tc>
          <w:tcPr>
            <w:tcW w:w="3440" w:type="dxa"/>
            <w:tcBorders>
              <w:top w:val="nil"/>
              <w:left w:val="nil"/>
              <w:bottom w:val="single" w:sz="8" w:space="0" w:color="auto"/>
              <w:right w:val="single" w:sz="8" w:space="0" w:color="auto"/>
            </w:tcBorders>
            <w:vAlign w:val="center"/>
            <w:hideMark/>
          </w:tcPr>
          <w:p w14:paraId="3A69F704"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2020 One Year Attrition and Retention Rates</w:t>
            </w:r>
          </w:p>
        </w:tc>
        <w:tc>
          <w:tcPr>
            <w:tcW w:w="3440" w:type="dxa"/>
            <w:tcBorders>
              <w:top w:val="nil"/>
              <w:left w:val="nil"/>
              <w:bottom w:val="single" w:sz="8" w:space="0" w:color="auto"/>
              <w:right w:val="single" w:sz="8" w:space="0" w:color="auto"/>
            </w:tcBorders>
            <w:vAlign w:val="center"/>
            <w:hideMark/>
          </w:tcPr>
          <w:p w14:paraId="0E362202"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A=28.6%, R=71.4%</w:t>
            </w:r>
          </w:p>
        </w:tc>
      </w:tr>
      <w:tr w:rsidR="00B769DB" w:rsidRPr="00F4796B" w14:paraId="6FFB07C8" w14:textId="77777777" w:rsidTr="00B769DB">
        <w:trPr>
          <w:trHeight w:val="593"/>
        </w:trPr>
        <w:tc>
          <w:tcPr>
            <w:tcW w:w="3440" w:type="dxa"/>
            <w:tcBorders>
              <w:top w:val="nil"/>
              <w:left w:val="single" w:sz="8" w:space="0" w:color="auto"/>
              <w:bottom w:val="single" w:sz="8" w:space="0" w:color="auto"/>
              <w:right w:val="single" w:sz="8" w:space="0" w:color="auto"/>
            </w:tcBorders>
            <w:vAlign w:val="center"/>
            <w:hideMark/>
          </w:tcPr>
          <w:p w14:paraId="5A656EB1"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MBA Project Management</w:t>
            </w:r>
          </w:p>
        </w:tc>
        <w:tc>
          <w:tcPr>
            <w:tcW w:w="3440" w:type="dxa"/>
            <w:tcBorders>
              <w:top w:val="nil"/>
              <w:left w:val="nil"/>
              <w:bottom w:val="single" w:sz="8" w:space="0" w:color="auto"/>
              <w:right w:val="single" w:sz="8" w:space="0" w:color="auto"/>
            </w:tcBorders>
            <w:vAlign w:val="center"/>
            <w:hideMark/>
          </w:tcPr>
          <w:p w14:paraId="005459D1"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2019 Master-Degree New Student Cohort Graduation Rate</w:t>
            </w:r>
          </w:p>
        </w:tc>
        <w:tc>
          <w:tcPr>
            <w:tcW w:w="3440" w:type="dxa"/>
            <w:tcBorders>
              <w:top w:val="nil"/>
              <w:left w:val="nil"/>
              <w:bottom w:val="single" w:sz="8" w:space="0" w:color="auto"/>
              <w:right w:val="single" w:sz="8" w:space="0" w:color="auto"/>
            </w:tcBorders>
            <w:vAlign w:val="center"/>
            <w:hideMark/>
          </w:tcPr>
          <w:p w14:paraId="3F064E6A"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64%</w:t>
            </w:r>
          </w:p>
        </w:tc>
      </w:tr>
      <w:tr w:rsidR="00B769DB" w:rsidRPr="00F4796B" w14:paraId="213C0A27" w14:textId="77777777" w:rsidTr="00B769DB">
        <w:trPr>
          <w:trHeight w:val="300"/>
        </w:trPr>
        <w:tc>
          <w:tcPr>
            <w:tcW w:w="3440" w:type="dxa"/>
            <w:tcBorders>
              <w:top w:val="nil"/>
              <w:left w:val="single" w:sz="8" w:space="0" w:color="auto"/>
              <w:bottom w:val="single" w:sz="8" w:space="0" w:color="auto"/>
              <w:right w:val="single" w:sz="8" w:space="0" w:color="auto"/>
            </w:tcBorders>
            <w:vAlign w:val="center"/>
            <w:hideMark/>
          </w:tcPr>
          <w:p w14:paraId="0C6672A1"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BS Project Management</w:t>
            </w:r>
          </w:p>
        </w:tc>
        <w:tc>
          <w:tcPr>
            <w:tcW w:w="3440" w:type="dxa"/>
            <w:tcBorders>
              <w:top w:val="nil"/>
              <w:left w:val="nil"/>
              <w:bottom w:val="single" w:sz="8" w:space="0" w:color="auto"/>
              <w:right w:val="single" w:sz="8" w:space="0" w:color="auto"/>
            </w:tcBorders>
            <w:vAlign w:val="center"/>
            <w:hideMark/>
          </w:tcPr>
          <w:p w14:paraId="51483E6A"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202 One Year Retention Rate*</w:t>
            </w:r>
          </w:p>
        </w:tc>
        <w:tc>
          <w:tcPr>
            <w:tcW w:w="3440" w:type="dxa"/>
            <w:tcBorders>
              <w:top w:val="nil"/>
              <w:left w:val="nil"/>
              <w:bottom w:val="single" w:sz="8" w:space="0" w:color="auto"/>
              <w:right w:val="single" w:sz="8" w:space="0" w:color="auto"/>
            </w:tcBorders>
            <w:vAlign w:val="center"/>
            <w:hideMark/>
          </w:tcPr>
          <w:p w14:paraId="5B8F3DA0"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R=83%</w:t>
            </w:r>
          </w:p>
        </w:tc>
      </w:tr>
    </w:tbl>
    <w:p w14:paraId="60F761E1" w14:textId="77777777" w:rsidR="00B769DB" w:rsidRPr="00F4796B" w:rsidRDefault="00B769DB" w:rsidP="00B769DB">
      <w:pPr>
        <w:spacing w:after="0" w:line="240" w:lineRule="auto"/>
        <w:rPr>
          <w:rFonts w:ascii="Aeonik" w:hAnsi="Aeonik"/>
          <w:color w:val="595959"/>
          <w:sz w:val="21"/>
          <w:szCs w:val="21"/>
        </w:rPr>
      </w:pPr>
    </w:p>
    <w:p w14:paraId="72EDCFEB" w14:textId="2C9B6827" w:rsidR="00104152" w:rsidRPr="00F4796B" w:rsidRDefault="001B7B53">
      <w:pPr>
        <w:spacing w:after="0" w:line="240" w:lineRule="auto"/>
        <w:jc w:val="center"/>
        <w:rPr>
          <w:rFonts w:ascii="Aeonik" w:hAnsi="Aeonik"/>
          <w:color w:val="595959"/>
          <w:sz w:val="21"/>
          <w:szCs w:val="21"/>
        </w:rPr>
      </w:pPr>
      <w:r w:rsidRPr="00F4796B">
        <w:rPr>
          <w:rFonts w:ascii="Aeonik" w:hAnsi="Aeonik"/>
          <w:color w:val="595959"/>
          <w:sz w:val="21"/>
          <w:szCs w:val="21"/>
        </w:rPr>
        <w:t>Indicators</w:t>
      </w:r>
    </w:p>
    <w:p w14:paraId="284E6661" w14:textId="77777777" w:rsidR="00104152" w:rsidRPr="00F4796B" w:rsidRDefault="001B7B53">
      <w:pPr>
        <w:spacing w:after="0" w:line="240" w:lineRule="auto"/>
        <w:rPr>
          <w:rFonts w:ascii="Aeonik" w:hAnsi="Aeonik"/>
          <w:color w:val="595959"/>
          <w:sz w:val="21"/>
          <w:szCs w:val="21"/>
        </w:rPr>
      </w:pPr>
      <w:r w:rsidRPr="00F4796B">
        <w:rPr>
          <w:rFonts w:ascii="Aeonik" w:hAnsi="Aeonik" w:cs="Cambria"/>
          <w:color w:val="595959"/>
          <w:sz w:val="21"/>
          <w:szCs w:val="21"/>
        </w:rPr>
        <w:t> </w:t>
      </w:r>
    </w:p>
    <w:tbl>
      <w:tblPr>
        <w:tblW w:w="10340" w:type="dxa"/>
        <w:tblLook w:val="04A0" w:firstRow="1" w:lastRow="0" w:firstColumn="1" w:lastColumn="0" w:noHBand="0" w:noVBand="1"/>
      </w:tblPr>
      <w:tblGrid>
        <w:gridCol w:w="3440"/>
        <w:gridCol w:w="6900"/>
      </w:tblGrid>
      <w:tr w:rsidR="00B769DB" w:rsidRPr="00F4796B" w14:paraId="27D4FBDD" w14:textId="77777777" w:rsidTr="00B769DB">
        <w:trPr>
          <w:trHeight w:val="593"/>
        </w:trPr>
        <w:tc>
          <w:tcPr>
            <w:tcW w:w="3440" w:type="dxa"/>
            <w:tcBorders>
              <w:top w:val="single" w:sz="8" w:space="0" w:color="auto"/>
              <w:left w:val="single" w:sz="8" w:space="0" w:color="auto"/>
              <w:bottom w:val="single" w:sz="8" w:space="0" w:color="auto"/>
              <w:right w:val="single" w:sz="8" w:space="0" w:color="auto"/>
            </w:tcBorders>
            <w:vAlign w:val="center"/>
            <w:hideMark/>
          </w:tcPr>
          <w:p w14:paraId="4D635E03" w14:textId="77777777" w:rsidR="00B769DB" w:rsidRPr="00F4796B" w:rsidRDefault="00B769DB" w:rsidP="00B769DB">
            <w:pPr>
              <w:spacing w:after="0" w:line="240" w:lineRule="auto"/>
              <w:jc w:val="center"/>
              <w:rPr>
                <w:rFonts w:ascii="Aeonik" w:eastAsia="Times New Roman" w:hAnsi="Aeonik"/>
                <w:i/>
                <w:iCs/>
                <w:color w:val="595959"/>
                <w:sz w:val="21"/>
                <w:szCs w:val="21"/>
              </w:rPr>
            </w:pPr>
            <w:r w:rsidRPr="00F4796B">
              <w:rPr>
                <w:rFonts w:ascii="Aeonik" w:eastAsia="Times New Roman" w:hAnsi="Aeonik"/>
                <w:i/>
                <w:iCs/>
                <w:color w:val="595959"/>
                <w:sz w:val="21"/>
                <w:szCs w:val="21"/>
              </w:rPr>
              <w:t>Indicator </w:t>
            </w:r>
          </w:p>
        </w:tc>
        <w:tc>
          <w:tcPr>
            <w:tcW w:w="6900" w:type="dxa"/>
            <w:tcBorders>
              <w:top w:val="single" w:sz="8" w:space="0" w:color="auto"/>
              <w:left w:val="nil"/>
              <w:bottom w:val="single" w:sz="8" w:space="0" w:color="auto"/>
              <w:right w:val="single" w:sz="8" w:space="0" w:color="auto"/>
            </w:tcBorders>
            <w:vAlign w:val="center"/>
            <w:hideMark/>
          </w:tcPr>
          <w:p w14:paraId="781A6656" w14:textId="77777777" w:rsidR="00B769DB" w:rsidRPr="00F4796B" w:rsidRDefault="00B769DB" w:rsidP="00B769DB">
            <w:pPr>
              <w:spacing w:after="0" w:line="240" w:lineRule="auto"/>
              <w:jc w:val="center"/>
              <w:rPr>
                <w:rFonts w:ascii="Aeonik" w:eastAsia="Times New Roman" w:hAnsi="Aeonik"/>
                <w:i/>
                <w:iCs/>
                <w:color w:val="595959"/>
                <w:sz w:val="21"/>
                <w:szCs w:val="21"/>
              </w:rPr>
            </w:pPr>
            <w:r w:rsidRPr="00F4796B">
              <w:rPr>
                <w:rFonts w:ascii="Aeonik" w:eastAsia="Times New Roman" w:hAnsi="Aeonik"/>
                <w:i/>
                <w:iCs/>
                <w:color w:val="595959"/>
                <w:sz w:val="21"/>
                <w:szCs w:val="21"/>
              </w:rPr>
              <w:t>Description of indicator and calculation method explanation </w:t>
            </w:r>
          </w:p>
        </w:tc>
      </w:tr>
      <w:tr w:rsidR="00B769DB" w:rsidRPr="00F4796B" w14:paraId="79E962CA" w14:textId="77777777" w:rsidTr="00B769DB">
        <w:trPr>
          <w:trHeight w:val="1213"/>
        </w:trPr>
        <w:tc>
          <w:tcPr>
            <w:tcW w:w="3440" w:type="dxa"/>
            <w:tcBorders>
              <w:top w:val="nil"/>
              <w:left w:val="single" w:sz="8" w:space="0" w:color="auto"/>
              <w:bottom w:val="single" w:sz="8" w:space="0" w:color="auto"/>
              <w:right w:val="single" w:sz="8" w:space="0" w:color="auto"/>
            </w:tcBorders>
            <w:vAlign w:val="center"/>
            <w:hideMark/>
          </w:tcPr>
          <w:p w14:paraId="30CF0243"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One Year Attrition and Retention Rates</w:t>
            </w:r>
          </w:p>
        </w:tc>
        <w:tc>
          <w:tcPr>
            <w:tcW w:w="6900" w:type="dxa"/>
            <w:tcBorders>
              <w:top w:val="nil"/>
              <w:left w:val="nil"/>
              <w:bottom w:val="single" w:sz="8" w:space="0" w:color="auto"/>
              <w:right w:val="single" w:sz="8" w:space="0" w:color="auto"/>
            </w:tcBorders>
            <w:vAlign w:val="center"/>
            <w:hideMark/>
          </w:tcPr>
          <w:p w14:paraId="109687EE"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Formula: the 2</w:t>
            </w:r>
            <w:r w:rsidRPr="00F4796B">
              <w:rPr>
                <w:rFonts w:ascii="Aeonik" w:eastAsia="Times New Roman" w:hAnsi="Aeonik"/>
                <w:color w:val="595959"/>
                <w:sz w:val="21"/>
                <w:szCs w:val="21"/>
                <w:vertAlign w:val="superscript"/>
              </w:rPr>
              <w:t>nd</w:t>
            </w:r>
            <w:r w:rsidRPr="00F4796B">
              <w:rPr>
                <w:rFonts w:ascii="Aeonik" w:eastAsia="Times New Roman" w:hAnsi="Aeonik"/>
                <w:color w:val="595959"/>
                <w:sz w:val="21"/>
                <w:szCs w:val="21"/>
              </w:rPr>
              <w:t> year enrolled/not enrolled divided by the total cohort number=retention rate/attrition rate.  For example, in Fall 2019 there were 6 full-time new freshmen in BA Management.  In Fall 2020, 3 of them returned.  Therefore, retention rate is 3/6=50%, Attrition rate is 3/6 = 50%.</w:t>
            </w:r>
          </w:p>
        </w:tc>
      </w:tr>
      <w:tr w:rsidR="00B769DB" w:rsidRPr="00F4796B" w14:paraId="411617A9" w14:textId="77777777" w:rsidTr="00B769DB">
        <w:trPr>
          <w:trHeight w:val="799"/>
        </w:trPr>
        <w:tc>
          <w:tcPr>
            <w:tcW w:w="3440" w:type="dxa"/>
            <w:tcBorders>
              <w:top w:val="nil"/>
              <w:left w:val="single" w:sz="8" w:space="0" w:color="auto"/>
              <w:bottom w:val="single" w:sz="8" w:space="0" w:color="auto"/>
              <w:right w:val="single" w:sz="8" w:space="0" w:color="auto"/>
            </w:tcBorders>
            <w:vAlign w:val="center"/>
            <w:hideMark/>
          </w:tcPr>
          <w:p w14:paraId="097FDB78"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Master-Degree New Student Cohort Graduation Rate</w:t>
            </w:r>
          </w:p>
        </w:tc>
        <w:tc>
          <w:tcPr>
            <w:tcW w:w="6900" w:type="dxa"/>
            <w:tcBorders>
              <w:top w:val="nil"/>
              <w:left w:val="nil"/>
              <w:bottom w:val="single" w:sz="8" w:space="0" w:color="auto"/>
              <w:right w:val="single" w:sz="8" w:space="0" w:color="auto"/>
            </w:tcBorders>
            <w:vAlign w:val="center"/>
            <w:hideMark/>
          </w:tcPr>
          <w:p w14:paraId="09133648" w14:textId="77777777" w:rsidR="00B769DB" w:rsidRPr="00F4796B" w:rsidRDefault="00B769DB" w:rsidP="00B769DB">
            <w:pPr>
              <w:spacing w:after="0" w:line="240" w:lineRule="auto"/>
              <w:jc w:val="center"/>
              <w:rPr>
                <w:rFonts w:ascii="Aeonik" w:eastAsia="Times New Roman" w:hAnsi="Aeonik"/>
                <w:color w:val="595959"/>
                <w:sz w:val="21"/>
                <w:szCs w:val="21"/>
              </w:rPr>
            </w:pPr>
            <w:r w:rsidRPr="00F4796B">
              <w:rPr>
                <w:rFonts w:ascii="Aeonik" w:eastAsia="Times New Roman" w:hAnsi="Aeonik"/>
                <w:color w:val="595959"/>
                <w:sz w:val="21"/>
                <w:szCs w:val="21"/>
              </w:rPr>
              <w:t>Formula: total number of graduates in master’s degree program divided by the total cohort number = master’s degree graduation rate.</w:t>
            </w:r>
          </w:p>
        </w:tc>
      </w:tr>
    </w:tbl>
    <w:p w14:paraId="4A6B77B5" w14:textId="00A0DA32" w:rsidR="00104152" w:rsidRPr="00F4796B" w:rsidRDefault="00104152">
      <w:pPr>
        <w:rPr>
          <w:rFonts w:ascii="Aeonik" w:hAnsi="Aeonik"/>
        </w:rPr>
      </w:pPr>
    </w:p>
    <w:p w14:paraId="35DF6E0E" w14:textId="578DEA46" w:rsidR="00B769DB" w:rsidRPr="00F4796B" w:rsidRDefault="00B769DB">
      <w:pPr>
        <w:rPr>
          <w:rFonts w:ascii="Aeonik" w:hAnsi="Aeonik"/>
        </w:rPr>
      </w:pPr>
    </w:p>
    <w:p w14:paraId="7A6166E7" w14:textId="05B5A634" w:rsidR="00B769DB" w:rsidRPr="00F4796B" w:rsidRDefault="00B769DB">
      <w:pPr>
        <w:rPr>
          <w:rFonts w:ascii="Aeonik" w:hAnsi="Aeonik"/>
        </w:rPr>
      </w:pPr>
    </w:p>
    <w:p w14:paraId="24B5DD27" w14:textId="6FF1E6D9" w:rsidR="00B769DB" w:rsidRPr="00F4796B" w:rsidRDefault="00B769DB">
      <w:pPr>
        <w:rPr>
          <w:rFonts w:ascii="Aeonik" w:hAnsi="Aeonik"/>
        </w:rPr>
      </w:pPr>
    </w:p>
    <w:p w14:paraId="2E321030" w14:textId="6E8CCA19" w:rsidR="00B769DB" w:rsidRPr="00F4796B" w:rsidRDefault="001B7B53">
      <w:pPr>
        <w:rPr>
          <w:rFonts w:ascii="Aeonik" w:hAnsi="Aeonik"/>
        </w:rPr>
      </w:pPr>
      <w:r w:rsidRPr="00F4796B">
        <w:rPr>
          <w:rStyle w:val="FootnoteReference"/>
          <w:rFonts w:ascii="Aeonik" w:hAnsi="Aeonik"/>
        </w:rPr>
        <w:footnoteRef/>
      </w:r>
      <w:r w:rsidRPr="00F4796B">
        <w:rPr>
          <w:rFonts w:ascii="Aeonik" w:hAnsi="Aeonik"/>
        </w:rPr>
        <w:t xml:space="preserve"> Indicators may include attrition, graduation rates, job placement, licensure pass rates, acceptance into graduate programs.</w:t>
      </w:r>
    </w:p>
    <w:p w14:paraId="1C7FA7E2" w14:textId="77777777" w:rsidR="00104152" w:rsidRPr="00F4796B" w:rsidRDefault="001B7B53">
      <w:pPr>
        <w:pStyle w:val="Heading2"/>
        <w:rPr>
          <w:rFonts w:ascii="Aeonik" w:hAnsi="Aeonik"/>
        </w:rPr>
      </w:pPr>
      <w:bookmarkStart w:id="3" w:name="_heading=h.i8kjzkw0s15y" w:colFirst="0" w:colLast="0"/>
      <w:bookmarkEnd w:id="3"/>
      <w:r w:rsidRPr="00F4796B">
        <w:rPr>
          <w:rFonts w:ascii="Aeonik" w:hAnsi="Aeonik"/>
        </w:rPr>
        <w:lastRenderedPageBreak/>
        <w:t>Information to assist in providing graduation and retention rates for accredited programs</w:t>
      </w:r>
    </w:p>
    <w:p w14:paraId="68583A07" w14:textId="77777777" w:rsidR="00104152" w:rsidRPr="00F4796B" w:rsidRDefault="00104152">
      <w:pPr>
        <w:shd w:val="clear" w:color="auto" w:fill="FFFFFF"/>
        <w:spacing w:after="240" w:line="240" w:lineRule="auto"/>
        <w:rPr>
          <w:rFonts w:ascii="Aeonik" w:eastAsia="Fira Sans" w:hAnsi="Aeonik" w:cs="Fira Sans"/>
          <w:color w:val="212121"/>
          <w:sz w:val="29"/>
          <w:szCs w:val="29"/>
          <w:u w:val="single"/>
        </w:rPr>
      </w:pPr>
    </w:p>
    <w:p w14:paraId="44890992" w14:textId="77777777" w:rsidR="00DB7984" w:rsidRDefault="00DB7984">
      <w:pPr>
        <w:shd w:val="clear" w:color="auto" w:fill="FFFFFF"/>
        <w:spacing w:after="240" w:line="240" w:lineRule="auto"/>
        <w:rPr>
          <w:rFonts w:ascii="Aeonik" w:hAnsi="Aeonik"/>
          <w:b/>
          <w:color w:val="212121"/>
        </w:rPr>
      </w:pPr>
    </w:p>
    <w:p w14:paraId="1BB70FD6" w14:textId="779FB253" w:rsidR="00104152" w:rsidRPr="00F4796B" w:rsidRDefault="001B7B53">
      <w:pPr>
        <w:shd w:val="clear" w:color="auto" w:fill="FFFFFF"/>
        <w:spacing w:after="240" w:line="240" w:lineRule="auto"/>
        <w:rPr>
          <w:rFonts w:ascii="Aeonik" w:hAnsi="Aeonik"/>
          <w:color w:val="212121"/>
        </w:rPr>
      </w:pPr>
      <w:r w:rsidRPr="00F4796B">
        <w:rPr>
          <w:rFonts w:ascii="Aeonik" w:hAnsi="Aeonik"/>
          <w:b/>
          <w:color w:val="212121"/>
        </w:rPr>
        <w:t>Retention Rate</w:t>
      </w:r>
    </w:p>
    <w:p w14:paraId="58E750CB" w14:textId="77777777" w:rsidR="00104152" w:rsidRPr="00F4796B" w:rsidRDefault="001B7B53">
      <w:pPr>
        <w:shd w:val="clear" w:color="auto" w:fill="FFFFFF"/>
        <w:spacing w:after="240" w:line="240" w:lineRule="auto"/>
        <w:rPr>
          <w:rFonts w:ascii="Aeonik" w:hAnsi="Aeonik"/>
          <w:color w:val="212121"/>
        </w:rPr>
      </w:pPr>
      <w:r w:rsidRPr="00F4796B">
        <w:rPr>
          <w:rFonts w:ascii="Aeonik" w:hAnsi="Aeonik"/>
          <w:color w:val="212121"/>
          <w:u w:val="single"/>
        </w:rPr>
        <w:t>Definition</w:t>
      </w:r>
      <w:r w:rsidRPr="00F4796B">
        <w:rPr>
          <w:rFonts w:ascii="Aeonik" w:hAnsi="Aeonik"/>
          <w:color w:val="212121"/>
        </w:rPr>
        <w:t>: Retention is defined as the percentage of students returning (out of a defined cohort group of students) to continue their education from a specified period to a specified period.</w:t>
      </w:r>
    </w:p>
    <w:p w14:paraId="3D136399" w14:textId="77777777" w:rsidR="00104152" w:rsidRPr="00F4796B" w:rsidRDefault="001B7B53">
      <w:pPr>
        <w:shd w:val="clear" w:color="auto" w:fill="FFFFFF"/>
        <w:spacing w:after="240" w:line="240" w:lineRule="auto"/>
        <w:rPr>
          <w:rFonts w:ascii="Aeonik" w:hAnsi="Aeonik"/>
          <w:color w:val="212121"/>
        </w:rPr>
      </w:pPr>
      <w:r w:rsidRPr="00F4796B">
        <w:rPr>
          <w:rFonts w:ascii="Aeonik" w:hAnsi="Aeonik"/>
          <w:color w:val="212121"/>
          <w:u w:val="single"/>
        </w:rPr>
        <w:t>Cohort</w:t>
      </w:r>
      <w:r w:rsidRPr="00F4796B">
        <w:rPr>
          <w:rFonts w:ascii="Aeonik" w:hAnsi="Aeonik"/>
          <w:color w:val="212121"/>
        </w:rPr>
        <w:t>: The cohort consists of all students that were admitted during a specified academic year, i.e., students having an “admit term” of any term during the academic year.</w:t>
      </w:r>
      <w:r w:rsidRPr="00F4796B">
        <w:rPr>
          <w:rFonts w:ascii="Aeonik" w:hAnsi="Aeonik" w:cs="Cambria"/>
          <w:color w:val="212121"/>
        </w:rPr>
        <w:t> </w:t>
      </w:r>
      <w:r w:rsidRPr="00F4796B">
        <w:rPr>
          <w:rFonts w:ascii="Aeonik" w:hAnsi="Aeonik"/>
          <w:color w:val="212121"/>
        </w:rPr>
        <w:t xml:space="preserve"> For example, a cohort for the academic year 2018 (2017-2018) would consist of all students that had an admit term of Fall 2018, Spring 2019, or Summer 2019.</w:t>
      </w:r>
    </w:p>
    <w:p w14:paraId="2BE0B4FB" w14:textId="77777777" w:rsidR="00104152" w:rsidRPr="00F4796B" w:rsidRDefault="001B7B53">
      <w:pPr>
        <w:shd w:val="clear" w:color="auto" w:fill="FFFFFF"/>
        <w:spacing w:after="240" w:line="240" w:lineRule="auto"/>
        <w:rPr>
          <w:rFonts w:ascii="Aeonik" w:hAnsi="Aeonik"/>
          <w:color w:val="212121"/>
        </w:rPr>
      </w:pPr>
      <w:r w:rsidRPr="00F4796B">
        <w:rPr>
          <w:rFonts w:ascii="Aeonik" w:hAnsi="Aeonik"/>
          <w:color w:val="212121"/>
          <w:u w:val="single"/>
        </w:rPr>
        <w:t>Calculation</w:t>
      </w:r>
      <w:r w:rsidRPr="00F4796B">
        <w:rPr>
          <w:rFonts w:ascii="Aeonik" w:hAnsi="Aeonik"/>
          <w:color w:val="212121"/>
        </w:rPr>
        <w:t>: The number of students in the cohort is the denominator whereas the number of students retained in a given academic year is the numerator.</w:t>
      </w:r>
      <w:r w:rsidRPr="00F4796B">
        <w:rPr>
          <w:rFonts w:ascii="Aeonik" w:hAnsi="Aeonik" w:cs="Cambria"/>
          <w:color w:val="212121"/>
        </w:rPr>
        <w:t> </w:t>
      </w:r>
      <w:r w:rsidRPr="00F4796B">
        <w:rPr>
          <w:rFonts w:ascii="Aeonik" w:hAnsi="Aeonik"/>
          <w:color w:val="212121"/>
        </w:rPr>
        <w:t xml:space="preserve"> Division creates the rate.</w:t>
      </w:r>
    </w:p>
    <w:p w14:paraId="668BD733" w14:textId="77777777" w:rsidR="00104152" w:rsidRPr="00F4796B" w:rsidRDefault="001B7B53">
      <w:pPr>
        <w:shd w:val="clear" w:color="auto" w:fill="FFFFFF"/>
        <w:spacing w:after="240" w:line="240" w:lineRule="auto"/>
        <w:rPr>
          <w:rFonts w:ascii="Aeonik" w:hAnsi="Aeonik"/>
          <w:color w:val="212121"/>
        </w:rPr>
      </w:pPr>
      <w:r w:rsidRPr="00F4796B">
        <w:rPr>
          <w:rFonts w:ascii="Aeonik" w:hAnsi="Aeonik"/>
          <w:color w:val="212121"/>
        </w:rPr>
        <w:t>Number of Students Retained / Number of Students in Cohort = Retention Rate (as a percent)</w:t>
      </w:r>
    </w:p>
    <w:p w14:paraId="1DCBAD73" w14:textId="77777777" w:rsidR="00104152" w:rsidRPr="00F4796B" w:rsidRDefault="001B7B53">
      <w:pPr>
        <w:spacing w:after="0" w:line="240" w:lineRule="auto"/>
        <w:rPr>
          <w:rFonts w:ascii="Aeonik" w:hAnsi="Aeonik"/>
          <w:i/>
        </w:rPr>
      </w:pPr>
      <w:r w:rsidRPr="00F4796B">
        <w:rPr>
          <w:rFonts w:ascii="Aeonik" w:hAnsi="Aeonik"/>
          <w:i/>
        </w:rPr>
        <w:t>If the Institutional Research Department or program at your institution provides a retention rate for each program, then use this data. Use the method established for the program and provide a clear and simple explanation.</w:t>
      </w:r>
    </w:p>
    <w:p w14:paraId="29C9DA2A" w14:textId="77777777" w:rsidR="00104152" w:rsidRPr="00F4796B" w:rsidRDefault="00104152">
      <w:pPr>
        <w:shd w:val="clear" w:color="auto" w:fill="FFFFFF"/>
        <w:spacing w:after="240" w:line="240" w:lineRule="auto"/>
        <w:rPr>
          <w:rFonts w:ascii="Aeonik" w:hAnsi="Aeonik"/>
          <w:color w:val="212121"/>
        </w:rPr>
      </w:pPr>
    </w:p>
    <w:p w14:paraId="3FC33860" w14:textId="77777777" w:rsidR="00104152" w:rsidRPr="00F4796B" w:rsidRDefault="001B7B53">
      <w:pPr>
        <w:shd w:val="clear" w:color="auto" w:fill="FFFFFF"/>
        <w:spacing w:after="240" w:line="240" w:lineRule="auto"/>
        <w:rPr>
          <w:rFonts w:ascii="Aeonik" w:hAnsi="Aeonik"/>
          <w:color w:val="212121"/>
        </w:rPr>
      </w:pPr>
      <w:r w:rsidRPr="00F4796B">
        <w:rPr>
          <w:rFonts w:ascii="Aeonik" w:hAnsi="Aeonik"/>
          <w:color w:val="212121"/>
          <w:u w:val="single"/>
        </w:rPr>
        <w:t>Attrition</w:t>
      </w:r>
      <w:r w:rsidRPr="00F4796B">
        <w:rPr>
          <w:rFonts w:ascii="Aeonik" w:hAnsi="Aeonik"/>
          <w:color w:val="212121"/>
        </w:rPr>
        <w:t xml:space="preserve">: Attrition </w:t>
      </w:r>
      <w:r w:rsidRPr="00F4796B">
        <w:rPr>
          <w:rFonts w:ascii="Aeonik" w:hAnsi="Aeonik"/>
          <w:color w:val="333333"/>
          <w:highlight w:val="white"/>
        </w:rPr>
        <w:t>is the number of individuals who leave a program of study before completing it.</w:t>
      </w:r>
      <w:r w:rsidRPr="00F4796B">
        <w:rPr>
          <w:rFonts w:ascii="Aeonik" w:hAnsi="Aeonik" w:cs="Cambria"/>
          <w:color w:val="333333"/>
          <w:highlight w:val="white"/>
        </w:rPr>
        <w:t> </w:t>
      </w:r>
      <w:r w:rsidRPr="00F4796B">
        <w:rPr>
          <w:rFonts w:ascii="Aeonik" w:hAnsi="Aeonik"/>
          <w:color w:val="333333"/>
          <w:highlight w:val="white"/>
        </w:rPr>
        <w:t>Attrition, or non-continuation rate, is an indicator of achievement.</w:t>
      </w:r>
    </w:p>
    <w:p w14:paraId="3F56A0C7" w14:textId="77777777" w:rsidR="00104152" w:rsidRPr="00F4796B" w:rsidRDefault="001B7B53">
      <w:pPr>
        <w:shd w:val="clear" w:color="auto" w:fill="FFFFFF"/>
        <w:spacing w:after="240" w:line="240" w:lineRule="auto"/>
        <w:rPr>
          <w:rFonts w:ascii="Aeonik" w:hAnsi="Aeonik"/>
          <w:b/>
        </w:rPr>
      </w:pPr>
      <w:r w:rsidRPr="00F4796B">
        <w:rPr>
          <w:rFonts w:ascii="Aeonik" w:hAnsi="Aeonik"/>
          <w:b/>
        </w:rPr>
        <w:t>Graduation Rates</w:t>
      </w:r>
    </w:p>
    <w:p w14:paraId="7962CD54" w14:textId="77777777" w:rsidR="00104152" w:rsidRPr="00F4796B" w:rsidRDefault="001B7B53">
      <w:pPr>
        <w:shd w:val="clear" w:color="auto" w:fill="FFFFFF"/>
        <w:spacing w:after="240" w:line="240" w:lineRule="auto"/>
        <w:rPr>
          <w:rFonts w:ascii="Aeonik" w:hAnsi="Aeonik"/>
        </w:rPr>
      </w:pPr>
      <w:r w:rsidRPr="00F4796B">
        <w:rPr>
          <w:rFonts w:ascii="Aeonik" w:hAnsi="Aeonik"/>
          <w:u w:val="single"/>
        </w:rPr>
        <w:t>Definition</w:t>
      </w:r>
      <w:r w:rsidRPr="00F4796B">
        <w:rPr>
          <w:rFonts w:ascii="Aeonik" w:hAnsi="Aeonik"/>
        </w:rPr>
        <w:t>: The rate required for reporting purposes. This rate is calculated as the total number of students who complete the program within 150% of the normal time to complete the degree divided by the cohort.</w:t>
      </w:r>
    </w:p>
    <w:sectPr w:rsidR="00104152" w:rsidRPr="00F4796B" w:rsidSect="001B7B5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F5F8" w14:textId="77777777" w:rsidR="00AD03C4" w:rsidRDefault="00AD03C4">
      <w:pPr>
        <w:spacing w:after="0" w:line="240" w:lineRule="auto"/>
      </w:pPr>
      <w:r>
        <w:separator/>
      </w:r>
    </w:p>
  </w:endnote>
  <w:endnote w:type="continuationSeparator" w:id="0">
    <w:p w14:paraId="51AE72BF" w14:textId="77777777" w:rsidR="00AD03C4" w:rsidRDefault="00AD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eonik">
    <w:altName w:val="Calibri"/>
    <w:charset w:val="00"/>
    <w:family w:val="swiss"/>
    <w:pitch w:val="variable"/>
    <w:sig w:usb0="80000047" w:usb1="00002073" w:usb2="00000000" w:usb3="00000000" w:csb0="00000013" w:csb1="00000000"/>
  </w:font>
  <w:font w:name="Cambria">
    <w:panose1 w:val="02040503050406030204"/>
    <w:charset w:val="00"/>
    <w:family w:val="roman"/>
    <w:pitch w:val="variable"/>
    <w:sig w:usb0="E00006FF" w:usb1="420024FF" w:usb2="02000000" w:usb3="00000000" w:csb0="0000019F" w:csb1="00000000"/>
  </w:font>
  <w:font w:name="Agrandir Text">
    <w:altName w:val="Calibri"/>
    <w:charset w:val="00"/>
    <w:family w:val="auto"/>
    <w:pitch w:val="variable"/>
    <w:sig w:usb0="0000000F" w:usb1="00000062" w:usb2="00000000" w:usb3="00000000" w:csb0="00000093" w:csb1="00000000"/>
  </w:font>
  <w:font w:name="Fira Sans">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3C25" w14:textId="77777777" w:rsidR="00AD03C4" w:rsidRDefault="00AD03C4">
      <w:pPr>
        <w:spacing w:after="0" w:line="240" w:lineRule="auto"/>
      </w:pPr>
      <w:r>
        <w:separator/>
      </w:r>
    </w:p>
  </w:footnote>
  <w:footnote w:type="continuationSeparator" w:id="0">
    <w:p w14:paraId="4C097953" w14:textId="77777777" w:rsidR="00AD03C4" w:rsidRDefault="00AD03C4">
      <w:pPr>
        <w:spacing w:after="0" w:line="240" w:lineRule="auto"/>
      </w:pPr>
      <w:r>
        <w:continuationSeparator/>
      </w:r>
    </w:p>
  </w:footnote>
  <w:footnote w:id="1">
    <w:p w14:paraId="6995E2CF" w14:textId="052C3918" w:rsidR="001B7B53" w:rsidRDefault="001B7B53">
      <w:pPr>
        <w:pStyle w:val="FootnoteText"/>
      </w:pPr>
      <w:r>
        <w:rPr>
          <w:rStyle w:val="FootnoteReference"/>
        </w:rPr>
        <w:footnoteRef/>
      </w:r>
      <w:r>
        <w:t xml:space="preserve"> Indicators may include attrition, graduation rates, job placement, licensure pass rates, acceptance into graduate programs.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E4582"/>
    <w:multiLevelType w:val="multilevel"/>
    <w:tmpl w:val="ABAC5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817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52"/>
    <w:rsid w:val="00104152"/>
    <w:rsid w:val="001B3604"/>
    <w:rsid w:val="001B7B53"/>
    <w:rsid w:val="00352463"/>
    <w:rsid w:val="006E6C5D"/>
    <w:rsid w:val="00736BA0"/>
    <w:rsid w:val="007370E8"/>
    <w:rsid w:val="009429CE"/>
    <w:rsid w:val="00A3368A"/>
    <w:rsid w:val="00AD03C4"/>
    <w:rsid w:val="00AD4124"/>
    <w:rsid w:val="00B769DB"/>
    <w:rsid w:val="00D86DE7"/>
    <w:rsid w:val="00DB7984"/>
    <w:rsid w:val="00EE6850"/>
    <w:rsid w:val="00F4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B417"/>
  <w15:docId w15:val="{51D9985E-5C0F-4AB2-8BFE-C20AD8C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0832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32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08322F"/>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0832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322F"/>
  </w:style>
  <w:style w:type="character" w:customStyle="1" w:styleId="eop">
    <w:name w:val="eop"/>
    <w:basedOn w:val="DefaultParagraphFont"/>
    <w:rsid w:val="0008322F"/>
  </w:style>
  <w:style w:type="character" w:styleId="IntenseEmphasis">
    <w:name w:val="Intense Emphasis"/>
    <w:basedOn w:val="DefaultParagraphFont"/>
    <w:uiPriority w:val="21"/>
    <w:qFormat/>
    <w:rsid w:val="0008322F"/>
    <w:rPr>
      <w:i/>
      <w:iCs/>
      <w:color w:val="4472C4" w:themeColor="accent1"/>
    </w:rPr>
  </w:style>
  <w:style w:type="character" w:customStyle="1" w:styleId="Heading3Char">
    <w:name w:val="Heading 3 Char"/>
    <w:basedOn w:val="DefaultParagraphFont"/>
    <w:link w:val="Heading3"/>
    <w:uiPriority w:val="9"/>
    <w:rsid w:val="0008322F"/>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7109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9C2"/>
    <w:rPr>
      <w:sz w:val="20"/>
      <w:szCs w:val="20"/>
    </w:rPr>
  </w:style>
  <w:style w:type="character" w:styleId="FootnoteReference">
    <w:name w:val="footnote reference"/>
    <w:basedOn w:val="DefaultParagraphFont"/>
    <w:uiPriority w:val="99"/>
    <w:semiHidden/>
    <w:unhideWhenUsed/>
    <w:rsid w:val="007109C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76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DB"/>
  </w:style>
  <w:style w:type="paragraph" w:styleId="Footer">
    <w:name w:val="footer"/>
    <w:basedOn w:val="Normal"/>
    <w:link w:val="FooterChar"/>
    <w:uiPriority w:val="99"/>
    <w:unhideWhenUsed/>
    <w:rsid w:val="00B76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4295">
      <w:bodyDiv w:val="1"/>
      <w:marLeft w:val="0"/>
      <w:marRight w:val="0"/>
      <w:marTop w:val="0"/>
      <w:marBottom w:val="0"/>
      <w:divBdr>
        <w:top w:val="none" w:sz="0" w:space="0" w:color="auto"/>
        <w:left w:val="none" w:sz="0" w:space="0" w:color="auto"/>
        <w:bottom w:val="none" w:sz="0" w:space="0" w:color="auto"/>
        <w:right w:val="none" w:sz="0" w:space="0" w:color="auto"/>
      </w:divBdr>
    </w:div>
    <w:div w:id="824320399">
      <w:bodyDiv w:val="1"/>
      <w:marLeft w:val="0"/>
      <w:marRight w:val="0"/>
      <w:marTop w:val="0"/>
      <w:marBottom w:val="0"/>
      <w:divBdr>
        <w:top w:val="none" w:sz="0" w:space="0" w:color="auto"/>
        <w:left w:val="none" w:sz="0" w:space="0" w:color="auto"/>
        <w:bottom w:val="none" w:sz="0" w:space="0" w:color="auto"/>
        <w:right w:val="none" w:sz="0" w:space="0" w:color="auto"/>
      </w:divBdr>
    </w:div>
    <w:div w:id="1236237189">
      <w:bodyDiv w:val="1"/>
      <w:marLeft w:val="0"/>
      <w:marRight w:val="0"/>
      <w:marTop w:val="0"/>
      <w:marBottom w:val="0"/>
      <w:divBdr>
        <w:top w:val="none" w:sz="0" w:space="0" w:color="auto"/>
        <w:left w:val="none" w:sz="0" w:space="0" w:color="auto"/>
        <w:bottom w:val="none" w:sz="0" w:space="0" w:color="auto"/>
        <w:right w:val="none" w:sz="0" w:space="0" w:color="auto"/>
      </w:divBdr>
    </w:div>
    <w:div w:id="19929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d8b721-35b5-4e52-9863-e76bcc8d75da">
      <Terms xmlns="http://schemas.microsoft.com/office/infopath/2007/PartnerControls"/>
    </lcf76f155ced4ddcb4097134ff3c332f>
    <TaxCatchAll xmlns="2ab16f87-a03b-4b98-9bb9-9b0f0e23fe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6E3B332BCBB8468F7F621A008D8E32" ma:contentTypeVersion="16" ma:contentTypeDescription="Create a new document." ma:contentTypeScope="" ma:versionID="c74d94cb531756e53d0927065518b0f1">
  <xsd:schema xmlns:xsd="http://www.w3.org/2001/XMLSchema" xmlns:xs="http://www.w3.org/2001/XMLSchema" xmlns:p="http://schemas.microsoft.com/office/2006/metadata/properties" xmlns:ns2="a6d8b721-35b5-4e52-9863-e76bcc8d75da" xmlns:ns3="2ab16f87-a03b-4b98-9bb9-9b0f0e23fea1" targetNamespace="http://schemas.microsoft.com/office/2006/metadata/properties" ma:root="true" ma:fieldsID="0e2cfd34a6f2fc0baac4923231944e6d" ns2:_="" ns3:_="">
    <xsd:import namespace="a6d8b721-35b5-4e52-9863-e76bcc8d75da"/>
    <xsd:import namespace="2ab16f87-a03b-4b98-9bb9-9b0f0e23fe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8b721-35b5-4e52-9863-e76bcc8d7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543a74-7519-499c-947a-c2233bcc19f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16f87-a03b-4b98-9bb9-9b0f0e23fe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ca4a44d-749e-4c50-bc2b-b6663f492c7e}" ma:internalName="TaxCatchAll" ma:showField="CatchAllData" ma:web="2ab16f87-a03b-4b98-9bb9-9b0f0e23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aQG82cUI0HOScLqFKGSphVrC6Q==">CgMxLjAyCGguZ2pkZ3hzMg5oLnRldW15bThramo0cjIJaC4zMGowemxsMg5oLmk4a2p6a3cwczE1eTgAciExSjRFdWhmaW5nZVVnaTkxbzBDWFRXNHRJR1hDTzNkNXA=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5449-998E-4161-9BF7-19CA977D34B0}">
  <ds:schemaRefs>
    <ds:schemaRef ds:uri="http://schemas.microsoft.com/sharepoint/v3/contenttype/forms"/>
  </ds:schemaRefs>
</ds:datastoreItem>
</file>

<file path=customXml/itemProps2.xml><?xml version="1.0" encoding="utf-8"?>
<ds:datastoreItem xmlns:ds="http://schemas.openxmlformats.org/officeDocument/2006/customXml" ds:itemID="{B9267D99-C55C-46A6-9983-1A765425582A}">
  <ds:schemaRefs>
    <ds:schemaRef ds:uri="http://schemas.microsoft.com/office/2006/metadata/properties"/>
    <ds:schemaRef ds:uri="http://schemas.microsoft.com/office/infopath/2007/PartnerControls"/>
    <ds:schemaRef ds:uri="a6d8b721-35b5-4e52-9863-e76bcc8d75da"/>
    <ds:schemaRef ds:uri="2ab16f87-a03b-4b98-9bb9-9b0f0e23fea1"/>
  </ds:schemaRefs>
</ds:datastoreItem>
</file>

<file path=customXml/itemProps3.xml><?xml version="1.0" encoding="utf-8"?>
<ds:datastoreItem xmlns:ds="http://schemas.openxmlformats.org/officeDocument/2006/customXml" ds:itemID="{AE33DC46-E61F-4415-B659-0388ABB46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8b721-35b5-4e52-9863-e76bcc8d75da"/>
    <ds:schemaRef ds:uri="2ab16f87-a03b-4b98-9bb9-9b0f0e23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D61BE9E-BE74-4F47-ABE3-2614E13C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Stum</dc:creator>
  <cp:lastModifiedBy>Walters, K. Berrak</cp:lastModifiedBy>
  <cp:revision>5</cp:revision>
  <dcterms:created xsi:type="dcterms:W3CDTF">2025-10-29T19:12:00Z</dcterms:created>
  <dcterms:modified xsi:type="dcterms:W3CDTF">2025-10-29T19:22:00Z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0x010100CE6E3B332BCBB8468F7F621A008D8E32</vt:lpwstr>
  </property>
</Properties>
</file>